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42</w:t>
      </w:r>
    </w:p>
    <w:p>
      <w:r>
        <w:t>Bundesgericht (BGE), 2022-11-29, DE</w:t>
      </w:r>
    </w:p>
    <w:p>
      <w:r>
        <w:rPr>
          <w:b/>
        </w:rPr>
        <w:t xml:space="preserve">Quelle: </w:t>
      </w:r>
      <w:r>
        <w:t>https://mcp.opencaselaw.ch/entscheid/bge_BGE_149_IV_42</w:t>
      </w:r>
    </w:p>
    <w:p>
      <w:r>
        <w:t>FR: ATF 149 IV 42</w:t>
      </w:r>
    </w:p>
    <w:p>
      <w:r>
        <w:t>IT: DTF 149 IV 42</w:t>
      </w:r>
    </w:p>
    <w:p>
      <w:pPr>
        <w:pStyle w:val="Heading2"/>
      </w:pPr>
      <w:r>
        <w:t>Regeste</w:t>
      </w:r>
    </w:p>
    <w:p>
      <w:r>
        <w:t>Regeste Art. 333 Abs. 1 StPO; Änderung der Anklage. Die Rückweisung an die Staatsanwaltschaft gemäss Art. 333 Abs. 1 StPO setzt gemäss dem klaren Gesetzeswortlaut und der bundesgerichtlichen Rechtsprechung voraus, dass der in der Anklageschrift umschriebene Sachverhalt einen andern als den angeklagten Straftatbestand erfüllen könnte. Die Bestimmung ist nicht anwendbar, wenn die Anklage innerhalb des angeklagten Straftatbestandes geändert werden soll (E. 3).</w:t>
      </w:r>
    </w:p>
    <w:p>
      <w:r>
        <w:t>Regeste Art. 333 al. 1 CPP; modification de l'accusation. Le renvoi de l'accusation au ministère public pour modification en vertu de l'art. 333 al. 1 CPP présuppose, conformément au libellé clair de la loi et à la jurisprudence du Tribunal fédéral, que les faits décrits dans l'acte d'accusation puissent constituer une infraction différente de celle qui est poursuivie. Cette disposition n'est pas applicable si l'accusation doit être modifiée dans le cadre de l'infraction poursuivie (consid. 3).</w:t>
      </w:r>
    </w:p>
    <w:p>
      <w:r>
        <w:t>Regesto Art. 333 cpv. 1 CPP; modifica dell'accusa. Secondo il chiaro tenore della norma e la giurisprudenza federale, il rinvio al pubblico ministero giusta l'art. 333 cpv. 1 CPP presuppone che i fatti descritti nell'atto d'accusa possano realizzare un'altra fattispecie penale rispetto a quella dedotta in accusa. La disposizione non è applicabile se l'accusa dev'essere modificata nell'ambito della fattispecie penale imputata (consid. 3).</w:t>
      </w:r>
    </w:p>
    <w:p>
      <w:pPr>
        <w:pStyle w:val="Heading2"/>
      </w:pPr>
      <w:r>
        <w:t>Erwägungen</w:t>
      </w:r>
    </w:p>
    <w:p>
      <w:r>
        <w:rPr>
          <w:b/>
        </w:rPr>
        <w:t>E. 3.1</w:t>
      </w:r>
    </w:p>
    <w:p>
      <w:r>
        <w:t>Weiter bringt die Beschwerdeführerin eventualiter vor, die Vorinstanz verletze Art. 333 Abs. 1 StPO , indem sie von einer Rückweisung der Anklage an die Staatsanwaltschaft abgesehen habe. Die Vorinstanz gelange zu Unrecht zum Schluss, eine Ergänzung der Anklage komme nur deshalb nicht in Frage, weil das in der Anklageschrift umschriebene Verhalten nicht unter einen anderen bzw. zusätzlichen Tatbestand falle. Diese vorinstanzliche Erwägung greife zu kurz. Richtigerweise hätte die Vorinstanz - einer Lehrmeinung folgend - eine Güterabwägung zwischen den Interessen des BGE 149 IV 42 S. 45 Beschwerdegegners 1, sich auf die Anklage verlassen zu können, und dem öffentlichen Interesse an der Ahndung strafbarer Handlungen vornehmen müssen.</w:t>
      </w:r>
    </w:p>
    <w:p>
      <w:r>
        <w:rPr>
          <w:b/>
        </w:rPr>
        <w:t>E. 3.2</w:t>
      </w:r>
    </w:p>
    <w:p>
      <w:r>
        <w:t>Nach Art. 333 Abs. 1 StPO gibt das Gericht der Staatsanwaltschaft Gelegenheit, die Anklage zu ändern, wenn nach seiner Auffassung der in der Anklageschrift umschriebene Sachverhalt einen andern Straftatbestand erfüllen könnte, die Anklageschrift aber den gesetzlichen Anforderungen nicht entspricht. Die Vorinstanz geht zwar zutreffend davon aus, dass diese Möglichkeit in Anwendung von Art. 379 StPO im Rahmen der Anträge der Parteien und, soweit mit dem Verbot der "reformatio in peius" vereinbar, auch noch im Berufungsverfahren besteht ( BGE 148 IV 124 E. 2.6.3; BGE 147 IV 167 E. 1.4; je mit Hinweis). Indessen verneint sie das Vorliegen der Voraussetzungen von Art. 333 Abs. 1 StPO , da nicht fraglich sei, ob das im Anklagesachverhalt dargelegte Verhalten des Beschwerdegegners 1 unter einen anderen bzw. zusätzlichen Tatbestand falle. Vielmehr fehle in der Anklageschrift "die Erwähnung und Beschreibung von Sorgfaltspflichtverletzungen bezüglich Geschwindigkeitsanpassung und Einhalten eines genügenden Abstandes". Daher falle eine Anklageergänzung gestützt auf Art. 333 Abs. 1 StPO ausser Betracht. Selbst wenn jedoch diese Sorgfaltspflichtverletzungen in der Anklage umschrieben wären - so die Vorinstanz weiter -, würde nicht feststehen, dass ein Schuldspruch ergehen würde.</w:t>
      </w:r>
    </w:p>
    <w:p>
      <w:r>
        <w:rPr>
          <w:b/>
        </w:rPr>
        <w:t>E. 3.3</w:t>
      </w:r>
    </w:p>
    <w:p>
      <w:r>
        <w:t>In einem kürzlich ergangenen Entscheid führte das Bundesgericht aus, eine Anwendung von Art. 333 Abs. 1 StPO sei (...) nur in engen Grenzen möglich, wenn es darum gehe, ungerechtfertigte Freisprüche zu verhindern, weil in der Anklage z.B. nicht alle Tatbestandselemente der angeklagten Straftat hinreichend umschrieben seien oder weil der an sich gleiche Lebensvorgang unter einen anderen Tatbestand zu subsumieren sei ( BGE 148 IV 124 E. 2.6.7). Da die Formulierung in diesem obiter dictum so verstanden werden kann, dass das Bundesgericht Art. 333 Abs. 1 StPO auch als anwendbar erachtet, wenn die Anklage innerhalb des angeklagten Straftatbestands geändert werden soll, ist mit dem vorliegenden Entscheid für eine diesbezügliche Klarstellung zu sorgen.</w:t>
      </w:r>
    </w:p>
    <w:p>
      <w:r>
        <w:rPr>
          <w:b/>
        </w:rPr>
        <w:t>E. 3.4</w:t>
      </w:r>
    </w:p>
    <w:p>
      <w:r>
        <w:t>Die StPO unterscheidet zwischen der Verbesserung einer nicht ordnungsgemäss erstellten Anklageschrift durch Ergänzung oder Berichtigung ( Art. 329 Abs. 1 lit. a und Abs. 2 StPO ), der Änderung der Anklage ( Art. 333 Abs. 1 StPO ) und der Erweiterung der Anklage ( Art. 333 Abs. 2 StPO ). BGE 149 IV 42 S. 46</w:t>
      </w:r>
    </w:p>
    <w:p>
      <w:r>
        <w:rPr>
          <w:b/>
        </w:rPr>
        <w:t>E. 3.4.1</w:t>
      </w:r>
    </w:p>
    <w:p>
      <w:r>
        <w:t>Gemäss bisheriger Rechtsprechung gelangt Art. 333 Abs. 1 StPO zur Anwendung, wenn der in der Anklageschrift umschriebene Sachverhalt einen anderen (Umqualifizierung) - oder, bei echter Konkurrenz, einen zusätzlichen - Straftatbestand erfüllen könnte, die Anklageschrift aber den gesetzlichen Anforderungen nicht entspricht (vgl. z.B. BGE 148 IV 124 E. 2.6.2; BGE 147 IV 167 E. 1.4; je mit Hinweis). Das ist typischerweise dann der Fall, wenn der angeklagte Sachverhalt aus Sicht des Gerichts einen anderen rechtlichen Tatbestand erfüllen könnte, dessen Tatbestandsvoraussetzungen allerdings in der Anklage nicht (vollständig) umschrieben sind. Eine Ergänzung der Anklage kommt auch in Betracht, wenn das Gericht der Ansicht ist, der in der Anklageschrift umschriebene Sachverhalt erfülle eine qualifizierte Variante des angeklagten Tatbestands, in der Anklage jedoch nur der Grundtatbestand dargestellt wird, während eine Darstellung des Qualifikationsmerkmals fehlt. Mit Art. 333 Abs. 1 StPO wird verhindert, dass schwere Straftaten mit einem Freispruch enden, nur weil sich bei der Beweisaufnahme vor Gericht eine mögliche neue Tatvariante ergibt (Urteile 6B_1216/2020 vom 11. April 2022 E. 1.3.2; 6B_688/2017 / 6B_689/2017 vom 1. Februar 2018 E. 2.3; je mit Hinweisen). Als Beispiel wird regelmässig der Fall erwähnt, dass das Gericht anstatt der angeklagten Veruntreuung auch eine rechtliche Würdigung des Sachverhalts als Betrug für möglich erachtet, die Anklage indessen nicht sagt, durch welches Verhalten der Angeklagte sich arglistig verhalten haben soll. In solchen Fällen wird die Staatsanwaltschaft eingeladen, den Sachverhalt der Anklage in Bezug auf das Merkmal der Arglist zu ergänzen (so bereits Urteil 6B_777/2011 vom 10. April 2012 E. 2 und Botschaft vom 21. Dezember 2005 zur Vereinheitlichung des Strafprozessrechts, BBl 2006 1280 f. zu Art. 334 E-StPO unter Hinweis auf GEORGES GREINER, Akkusationsprinzip und Wirtschaftsstrafsachen, ZStrR 123/2005 S. 120).</w:t>
      </w:r>
    </w:p>
    <w:p>
      <w:r>
        <w:rPr>
          <w:b/>
        </w:rPr>
        <w:t>E. 3.4.2</w:t>
      </w:r>
    </w:p>
    <w:p>
      <w:r>
        <w:t>In der Lehre wird bzw. wurde vereinzelt diskutiert, ob Art. 333 Abs. 1 StPO über seinen klaren Wortlaut hinaus auch Anwendung finden soll, wenn die Anklage innerhalb des angeklagten Straftatbestands geändert werden soll (SCHMID/JOSITSCH, Handbuch des schweizerischen Strafprozessrechts, 3. Aufl. 2017, Rz. 1296; YVONA GRIESSER, in: Kommentar zur Schweizerischen Strafprozessordnung [StPO], 2. Aufl. 2014, N. 4 zu Art. 333 StPO , allerdings fehlen diese Ausführungen in der neuen Auflage, vgl. dieselbe , in: Kommentar zur Schweizerischen Strafprozessordnung StPO, 3. Aufl. 2020, Art. 333 BGE 149 IV 42 S. 47 StPO ). Man könne argumentieren, der Grundsatz "a maiore minus" spreche für eine weite Anwendung von Art. 333 StPO , das Immutabilitätsprinzip bzw. der Ausnahmecharakter der Bestimmung aber eher dagegen (siehe SCHMID/JOSITSCH, a.a.O., Rz. 1296).</w:t>
      </w:r>
    </w:p>
    <w:p>
      <w:r>
        <w:rPr>
          <w:b/>
        </w:rPr>
        <w:t>E. 3.4.3</w:t>
      </w:r>
    </w:p>
    <w:p>
      <w:r>
        <w:t>Die Entstehungsgeschichte von Art. 333 Abs. 1 StPO spricht gegen eine solche erweiterte Anwendbarkeit: Art. 383 Abs. 1 des Vorentwurfs von 2001 zu einer Schweizerischen Strafprozessordnung (VE-StPO) war - ähnlich wie etwa § 182 Abs. 3 der Strafprozessordnung des Kantons Zürich vom 4. Mai 1919 (StPO/ZH) - offener formuliert ("Erfüllt nach Auffassung des Gerichts der in der Anklage umschriebene Sachverhalt einen Straftatbestand, [...]") und wurde in der Vernehmlassung kritisiert (Bundesamt für Justiz, Zusammenfassung der Ergebnisse des Vernehmlassungsverfahrens über die Vorentwürfe zu einer Schweizerischen Strafprozessordnung und zu einem Bundesgesetz über das Schweizerische Jugendstrafverfahren, 2003, S. 73 f.). In Art. 334 Abs. 1 des Entwurfs der eidgenössischen StPO (E-StPO), der unverändert zum heutigen Art. 333 Abs. 1 StPO wurde, findet sich dann die Formulierung: " [...] wenn nach seiner Auffassung der in der Anklageschrift umschriebene Sachverhalt einen andern Straftatbestand erfüllen könnte, [...]". Damit einhergehend wird in der Botschaft die Wechselwirkung zwischen der Darlegung des Sachverhalts und der rechtlichen Beurteilung betont. Auch das einzige angeführte Beispiel bezieht sich auf den Fall, dass ein anderer Tatbestand zur Anwendung gelangt (BBl 2006 1280). Von einer wortlautgemässen Auslegung geht etwa auch das Urteil 6B_941/2018 vom 6. März 2019 in E. 1.3.3 aus ("Voraussetzung hierfür [die Anwendung von Art. 333 Abs. 1 StPO ] bildet, dass der in der Anklageschrift umschriebene Sachverhalt einen andern als den angeklagten Straftatbestand erfüllen könnte, die Anklageschrift aber den gesetzlichen Anforderungen nicht entspricht.").</w:t>
      </w:r>
    </w:p>
    <w:p>
      <w:r>
        <w:rPr>
          <w:b/>
        </w:rPr>
        <w:t>E. 3.4.4</w:t>
      </w:r>
    </w:p>
    <w:p>
      <w:r>
        <w:t>Im Gerichtsverfahren gilt grundsätzlich das Immutabilitätsprinzip ( BGE 148 IV 124 E. 2.6.7 mit Hinweis). Danach ist das Gericht an den in der Anklage wiedergegebenen Sachverhalt gebunden (vgl. Art. 350 Abs. 1 StPO ). Gemäss Art. 340 Abs. 1 lit. b StPO kann die Anklage an der Hauptverhandlung nach der Behandlung allfälliger Vorfragen nicht mehr zurückgezogen und unter Vorbehalt von Art. 333 StPO nicht mehr geändert werden. Allfällige Prozesshindernisse vorbehalten, kann eine beschuldigte Person nach Beginn des gerichtlichen Beweisverfahrens daher nur noch freigesprochen oder schuldig erklärt werden. Der Staatsanwaltschaft ist es somit nicht BGE 149 IV 42 S. 48 möglich, die Anklage z.B. bei einem sich vor Gericht abzeichnenden Freispruch zurückzuziehen ( BGE 144 I 234 E. 5.6.3 mit Hinweisen). Die Abweichung vom Anklageprinzip darf nicht zur Regel werden (vgl. Urteile 6B_135/2022 vom 28. September 2022 E. 2.1.1; 6B_819/ 2018 vom 25. Januar 2019 E. 1.3.2; 6B_690/2014 / 6B_714/2014 vom 12. Juni 2015 E. 4.2; je mit Hinweisen; zustimmend MANON SIMEONI, La modification de l'acte d'accusation au sens de l'art. 333 al. 1 CPP, ZStrR 138/2020 S. 200). Der Ausnahmecharakter von Art. 333 Abs. 1 StPO bzw. der Umstand, dass die Anwendung dieser Norm die Durchbrechung des Immutabilitätsprinzips zur Folge hat, spricht ebenfalls gegen eine weite Auslegung dieser Bestimmung. Ferner erscheint eine zu extensive Auslegung von Art. 333 Abs. 1 StPO auch unter dem Aspekt, dass das Sachgericht gewissermassen die Rolle der Anklage einnimmt, wenn es diesen Artikel anwendet, als problematisch. Dem Sachgericht ist es untersagt, die Rolle der Anklage zu übernehmen ( BGE 148 IV 124 E. 2.6.7 mit Hinweis auf BGE 144 I 234 E. 5).</w:t>
      </w:r>
    </w:p>
    <w:p>
      <w:r>
        <w:rPr>
          <w:b/>
        </w:rPr>
        <w:t>E. 3.5</w:t>
      </w:r>
    </w:p>
    <w:p>
      <w:r>
        <w:t>In Würdigung des Vorstehenden besteht kein Anlass für eine Praxisänderung. Art. 333 Abs. 1 StPO ist folglich nicht über seinen klaren Wortlaut hinaus auch anzuwenden, wenn die Anklage innerhalb des angeklagten Straftatbestandes geändert werden soll, weil etwa wie im vorliegenden Fall in der Anklageschrift nicht alle tatsächlichen Umstände aufgeführt sind, aus denen sich die Pflichtwidrigkeit des vorgeworfenen Verhaltens (möglicherweise) ergeben könnte. Dass der Beschwerdegegner 1 wegen eines anderen Straftatbestands als der fahrlässigen Tötung zu verurteilen wäre, steht nicht zur Diskussion. Damit liegen die Voraussetzungen von Art. 333 Abs. 1 StPO nicht vor. Insofern besteht auch kein Raum für die von der Beschwerdeführerin unter Hinweis auf STEPHENSON/ZALUNARDO-WALSER (in: Basler Kommentar, Schweizerische Strafprozessordnung, Jugendstrafprozessordnung, 2. Aufl. 2014, N. 4 f. zu Art. 333 StPO ) geforderten Abwägung zwischen dem Interesse des Beschuldigten, sich auf die Anklage verlassen zu können, und dem öffentlichen Interesse an der Ahndung strafbarer Handlungen. Entgegen dem Vorbringen der Beschwerdeführerin geht aus dieser Kommentarstelle sodann gerade nicht hervor, dass diese Autoren ihrer Meinung sind und eine Änderung der Anklage nach Art. 333 Abs. 1 StPO auch zulassen wollen, wenn darin nicht alle Tatbestandsvoraussetzungen der bereits BGE 149 IV 42 S. 49 angeklagten Straftat hinreichend umschrieben sind. Vielmehr setzen sich STEPHENSON/ZALUNARDO-WALSER an der zitierten Stelle lediglich mit der Frage auseinander, ob eine Änderung der Anklage im Sinne von Art. 333 Abs. 1 StPO auch zulässig sein soll, wenn neue Tatbestandselemente hinzugefügt werden sollen; gewisse Lehrmeinungen würden diesbezüglich zur Zurückhaltung drängen. Als Beispiel nennen sie dabei die Situation bei einer angeklagten vorsätzlichen Körperverletzung (Art. 122 f. StGB), die sich als fahrlässige Körperverletzung ( Art. 125 StGB ) herausstelle, mithin der in Art. 333 Abs. 1 StPO explizit genannte Fall, bei dem das Gericht zur Auffassung kommt, der in der Anklageschrift umschriebene Sachverhalt könnte einen anderen - und eben gerade nicht den gleichen - Straftatbestand erfüllen (STEPHENSON/ZALUNARDO-WALSER, a.a.O., N. 3 f. zu Art. 333 StPO ). Ferner erklären sie sogar ausdrücklich, Art. 333 Abs. 1 StPO beziehe sich seinem klaren Wortlaut nach auf die Konstellation, wonach der umschriebene Sachverhalt auch zu einer anderen als der von der Staatsanwaltschaft vorgenommenen rechtlichen Subsumtion führen könnte, für diese andere Strafnorm jedoch die erforderlichen Tatbestandselemente nicht beschrieben seien (STEPHENSON/ZALUNARDO-WALSER, a.a.O., N. 6 zu Art. 333 StPO ). Die Unterlassung der Staatsanwaltschaft, in der Anklageschrift alle tatsächlichen Feststellungen darzulegen, aus denen sich allenfalls die Pflichtwidrigkeit des inkriminierten Verhaltens ergeben könnte, kann somit nicht zur Verpflichtung des Gerichts führen, ihr Gelegenheit zur Anklageänderung zu geben (so schon Urteil 6B_963/ 2015 vom 19. Mai 2016 E. 1.5; zustimmend EICKER/MANGO-MEIER, Rechtsprechung des Bundesgerichts zum Strassenverkehrsstrafrecht, in: Jahrbuch zum Strassenverkehrsrecht 2017, S. 130 f. Rz. 23).</w:t>
      </w:r>
    </w:p>
    <w:p>
      <w:r>
        <w:rPr>
          <w:b/>
        </w:rPr>
        <w:t>E. 3.6</w:t>
      </w:r>
    </w:p>
    <w:p>
      <w:r>
        <w:t>Nach dem Gesagten verstösst das angefochtene Urteil damit auch nicht gegen Art. 333 Abs. 1 StPO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