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284</w:t>
      </w:r>
    </w:p>
    <w:p>
      <w:r>
        <w:t>Bundesgericht (BGE), 2023-04-18, DE</w:t>
      </w:r>
    </w:p>
    <w:p>
      <w:r>
        <w:rPr>
          <w:b/>
        </w:rPr>
        <w:t xml:space="preserve">Quelle: </w:t>
      </w:r>
      <w:r>
        <w:t>https://mcp.opencaselaw.ch/entscheid/bge_BGE_149_IV_284</w:t>
      </w:r>
    </w:p>
    <w:p>
      <w:r>
        <w:t>FR: ATF 149 IV 284</w:t>
      </w:r>
    </w:p>
    <w:p>
      <w:r>
        <w:t>IT: DTF 149 IV 284</w:t>
      </w:r>
    </w:p>
    <w:p>
      <w:pPr>
        <w:pStyle w:val="Heading2"/>
      </w:pPr>
      <w:r>
        <w:t>Regeste</w:t>
      </w:r>
    </w:p>
    <w:p>
      <w:r>
        <w:t>Regeste Aufhebung und Rückweisung im Berufungsverfahren; Vorprüfung (Art. 400 und 409 StPO); Verschlechterungsverbot (Art. 391 Abs. 2 StPO). Hebt das Berufungsgericht das erstinstanzliche Urteil aufgrund offensichtlicher wesentlicher Mängel auf, noch bevor es den anderen Parteien eine Kopie der Berufungserklärung übermittelt und eine Frist zur Anschlussberufung angesetzt hat, kann das Verschlechterungsverbot im Rückweisungsverfahren nicht zur Anwendung gelangen. Andernfalls würden die Parteirechte der Staatsanwaltschaft und der Privatklägerschaft missachtet (E. 2.3 und 2.4).</w:t>
      </w:r>
    </w:p>
    <w:p>
      <w:r>
        <w:t>Regeste Annulation et renvoi en procédure d'appel; examen préalable (art. 400 et 409 CPP); interdiction de la reformatio in pejus (art. 391 al. 2 CPP). Si la cour d'appel annule le jugement de première instance en raison de vices importants manifestes, avant même d'avoir transmis aux autres parties une copie de la déclaration d'appel et fixé un délai pour l'appel joint, l'interdiction de la reformatio in pejus ne peut pas s'appliquer dans la procédure de renvoi. Dans le cas contraire, les droits de partie du ministère public et de la partie plaignante ne seraient pas respectés (consid. 2.3 et 2.4).</w:t>
      </w:r>
    </w:p>
    <w:p>
      <w:r>
        <w:t>Regesto Annullamento e rinvio nel procedimento di appello; esame preliminare (art. 400 e 409 CPP); divieto della reformatio in peius (art. 391 cpv. 2 CPP). Se il tribunale d'appello annulla la sentenza di primo grado a causa di vizi manifestamente importanti, prima ancora di trasmettere una copia della dichiarazione di appello alle altre parti e di fissare il termine per interporre appello incidentale, il divieto della reformatio in peius non può trovare applicazione nella procedura di rinvio. Sarebbero in caso contrario disattesi i diritti di parte del pubblico ministero e dell'accusatore privato (consid. 2.3 e 2.4).</w:t>
      </w:r>
    </w:p>
    <w:p>
      <w:pPr>
        <w:pStyle w:val="Heading2"/>
      </w:pPr>
      <w:r>
        <w:t>Erwägungen</w:t>
      </w:r>
    </w:p>
    <w:p>
      <w:r>
        <w:rPr>
          <w:b/>
        </w:rPr>
        <w:t>E. 2</w:t>
      </w:r>
    </w:p>
    <w:p>
      <w:r>
        <w:t>Der Beschwerdeführer rügt eine Verletzung des Verschlechterungsverbots.</w:t>
      </w:r>
    </w:p>
    <w:p>
      <w:r>
        <w:rPr>
          <w:b/>
        </w:rPr>
        <w:t>E. 2.1</w:t>
      </w:r>
    </w:p>
    <w:p>
      <w:r>
        <w:t>Der Beschwerdeführer machte im Berufungsverfahren geltend, die Erstinstanz sei daran gebunden gewesen, dass sie ihn in ihrem ersten Urteil vom 14. Februar 2019 von den Vorwürfen der Verletzung der Verkehrsregeln durch ungenügenden Abstand beim Hintereinanderfahren, mehrfachen Widerhandlung gegen die Verkehrsregelnverordnung und mehrfachen Beschimpfung freigesprochen habe. Zudem sei die Erstinstanz daran gebunden gewesen, dass sie ihn ursprünglich nur zu einer Freiheitsstrafe von 18 Monaten verurteilt habe.</w:t>
      </w:r>
    </w:p>
    <w:p>
      <w:r>
        <w:rPr>
          <w:b/>
        </w:rPr>
        <w:t>E. 2.2</w:t>
      </w:r>
    </w:p>
    <w:p>
      <w:r>
        <w:t>Die Berufung nach Art. 398 ff. StPO ist grundsätzlich ein reformatorisches Rechtsmittel. Tritt das Berufungsgericht auf die Berufung ein, fällt es ein neues Urteil, welches das erstinstanzliche Urteil ersetzt ( Art. 408 StPO ). 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Dabei bestimmt das Berufungsgericht, welche Verfahrenshandlungen zu wiederholen oder nachzuholen sind (Abs. 2). Das erstinstanzliche Gericht ist an die vom Berufungsgericht im Rückweisungsbeschluss BGE 149 IV 284 S. 287 vertretenen Rechtsauffassungen und an die Weisungen gemäss Art. 409 Abs. 2 StPO gebunden (Abs. 3). Es ist zudem an das Verbot der reformatio in peius gemäss Art. 391 Abs. 2 StPO gebunden, soweit sich im neuen Verfahren nicht Tatsachen ergeben, die ihm im ersten Hauptverfahren noch nicht bekannt sein konnten ( BGE 143 IV 408 E. 6.1 mit zahlreichen Hinweisen).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Instanzenverlusts, unumgänglich ist ( BGE 143 IV 408 E. 6.1 mit Hinweisen). Dies ist etwa der Fall bei Verweigerung von Teilnahmerechten oder nicht gehöriger Verteidigung (Urteil 6B_512/2012 vom 30. April 2013 E. 1.3.3), bei falscher Besetzung des Gerichts (Urteile 6B_596/2012 und 6B_682/2012 je vom 25. April 2013 je E. 1.3) oder bei unvollständiger Behandlung sämtlicher Anklage- oder Zivilpunkte (Botschaft vom 21. Dezember 2005 zur Vereinheitlichung des Strafprozessrechts, BBl 2006 1318 Ziff. 2.9.3.3).</w:t>
      </w:r>
    </w:p>
    <w:p>
      <w:r>
        <w:rPr>
          <w:b/>
        </w:rPr>
        <w:t>E. 2.3</w:t>
      </w:r>
    </w:p>
    <w:p>
      <w:r>
        <w:t>Dass grundsätzlich das Verschlechterungsverbot gilt, wenn das Berufungsgericht das erstinstanzliche Urteil aufhebt und die Sache zur Neubeurteilung zurückweist, übersieht die Vorinstanz nicht. Sie zitiert die einschlägige bundesgerichtliche Rechtsprechung, weist aber darauf hin, dass das Verschlechterungsverbot nicht zum Tragen kommt, wenn Anschlussberufung erklärt wurde. Der Beschwerdeführer hatte das erste Urteil der Erstinstanz vom 14. Februar 2019 in weiten Teilen angefochten. Mit Beschluss vom 19. September 2019 hatte die Vorinstanz dieses erste Urteil wegen offensichtlicher wesentlicher Mängel aufgehoben, noch bevor den anderen Parteien gestützt auf Art. 400 Abs. 2 StPO eine Kopie der Berufungserklärung übermittelt worden war. Dieses Vorgehen ist zulässig und drängt sich aus verfahrensökonomischen Gründen sogar auf bei gravierenden Verfahrensfehlern, wie sie die Vorinstanz angenommen hat (vgl. SCHMID/JOSITSCH, Schweizerische Strafprozessordnung [StPO], Praxiskommentar, 3. Aufl. 2018, N. 4 zu Art. 409 StPO ). Aufgrund dieser Konstellation wurde weder der Staatsanwaltschaft noch der Privatklägerschaft eine Frist zur Anschlussberufung gemäss Art. 400 Abs. 3 lit. b StPO angesetzt. Bei dieser Ausgangslage kann BGE 149 IV 284 S. 288 das Verschlechterungsverbot im Rückweisungsverfahren nicht zur Anwendung gelangen. Andernfalls würden die Parteirechte der Staatsanwaltschaft und der Privatklägerschaft missachtet. Es kommt hinzu, dass das Berufungsgericht in einem zweiten Berufungsverfahren nicht an das Verschlechterungsverbot gebunden ist, wenn die Staatsanwaltschaft oder die Privatklägerschaft mit Berufung oder Anschlussberufung entsprechende Anträge stellen. Wie bereits die Vorinstanz zutreffend ausführt, liegt darin auch kein Widerspruch zu BGE 143 IV 408 . In jenem Fall hatte die Staatsanwaltschaft die erstinstanzlichen Freisprüche und Einstellungen nicht angefochten (vgl. dort Sachverhalt Bst. B.b). Wäre es nicht zu einer Rückweisung gekommen, wäre das Berufungsgericht an das Verschlechterungsverbot gebunden gewesen, weshalb die Rückweisung das Verschlechterungsverbot auch nicht beseitigen konnte. Im vorliegenden Fall hatten die Staatsanwaltschaft und die Privatklägerschaft aber keine Möglichkeit, Anschlussberufung zu erklären, und sie haben auch nicht auf ein Rechtsmittel verzichtet. Daran ändert nichts, dass den Verfahrensbeteiligten Gelegenheit einzuräumen ist, sich vorgängig zur Frage eines allfälligen Rückweisungsentscheids zu äussern ( BGE 143 IV 408 E. 6.1). Denn diese Vorgabe ist nur dem Anspruch auf rechtliches Gehör geschuldet und führt nicht zu einem verbindlichen Verzicht der Staatsanwaltschaft oder der Privatklägerschaft auf eine Anschlussberufung. Dies muss umso mehr gelten, wenn dazu wie hier keine Frist gemäss Art. 400 Abs. 3 lit. b StPO angesetzt worden ist. Die Gewährung des rechtlichen Gehörs dient denn auch in erster Linie der beschuldigten Person, welche Berufung erklärt hat und durch einen Rückzug der Berufung eine allfällige Verschlechterung noch abwenden kann. In diesem Zusammenhang verkennt der Beschwerdeführer die Tragweite des Verschlechterungsverbots. Zwar liegt die ratio legis des Verbots der reformatio in peius darin, dass die beschuldigte Person nicht aus Angst vor einer strengeren Bestrafung von der Ergreifung eines Rechtsmittels abgehalten werden soll (Botschaft vom 21. Dezember 2005 zur Vereinheitlichung des Strafprozessrechts, BBl 2006 1311 Ziff. 2.9.1; BGE 139 IV 282 E. 2.4.3 mit Hinweisen). Doch übersieht der Beschwerdeführer, dass die beschuldigte Person nicht absolut vor einer Verschlechterung geschützt ist, nur weil sie in Berufung geht. Denn mit der Berufung eröffnet sie den anderen Parteien gerade die Möglichkeit zur Anschlussberufung ( Art. 400 Abs. 3 lit. b StPO ). BGE 149 IV 284 S. 289 Diese fällt freilich dahin, wenn die Berufung zurückgezogen oder darauf nicht eingetreten wird ( Art. 401 Abs. 3 StPO ).</w:t>
      </w:r>
    </w:p>
    <w:p>
      <w:r>
        <w:rPr>
          <w:b/>
        </w:rPr>
        <w:t>E. 2.4</w:t>
      </w:r>
    </w:p>
    <w:p>
      <w:r>
        <w:t>Nach dem Gesagten war die Erstinstanz nicht an das Verschlechterungsverbot gebunden, nachdem die Vorinstanz ihr erstes Urteil gestützt auf Art. 409 Abs. 1 StPO aufgehoben und die Sache zur Durchführung einer neuen Hauptverhandlung und zur Fällung eines neuen Urteils zurückgewiesen hatte. Im nachfolgenden Berufungsverfahren war die Vorinstanz insoweit an das Verschlechterungsverbot gebunden, als die Staatsanwaltschaft in ihrer Anschlussberufung nur eine Erhöhung der Freiheitsstrafe beantragt hatte (vgl. dazu etwa BGE 148 IV 89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