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354</w:t>
      </w:r>
    </w:p>
    <w:p>
      <w:r>
        <w:t>Bundesgericht (BGE), 2023-08-17, DE</w:t>
      </w:r>
    </w:p>
    <w:p>
      <w:r>
        <w:rPr>
          <w:b/>
        </w:rPr>
        <w:t xml:space="preserve">Quelle: </w:t>
      </w:r>
      <w:r>
        <w:t>https://mcp.opencaselaw.ch/entscheid/bge_BGE_149_II_354</w:t>
      </w:r>
    </w:p>
    <w:p>
      <w:r>
        <w:t>FR: ATF 149 II 354</w:t>
      </w:r>
    </w:p>
    <w:p>
      <w:r>
        <w:t>IT: DTF 149 II 354</w:t>
      </w:r>
    </w:p>
    <w:p>
      <w:pPr>
        <w:pStyle w:val="Heading2"/>
      </w:pPr>
      <w:r>
        <w:t>Regeste</w:t>
      </w:r>
    </w:p>
    <w:p>
      <w:r>
        <w:t>Regeste Art. 127 Abs. 3 BV; Art. 89 Abs. 1 und Art. 100 Abs. 5 BGG; keine Verwirkung des Beschwerderechts im Bereich der interkantonalen Doppelbesteuerung (Praxisänderung). In Anbetracht der veränderten Sach- und Rechtslage wird die Praxis zur prozessrechtlichen Verwirkung des Beschwerderechts in Fällen der interkantonalen Doppelbesteuerung aufgegeben (Präxisänderung; E. 2). Auch auf materiell-rechtlicher Ebene ist das verfassungsmässige Verbot der interkantonalen Doppelbesteuerung (Art. 127 Abs. 3 BV) grundsätzlich streng durchzusetzen. Vorbehalten bleiben nur gewisse Fälle qualifiziert missbräuchlichen Verhaltens (E. 4). Im Übrigen kann das Bundesgericht treuwidrigem Verhalten bei der Verlegung der Kosten- und Entschädigungsfolgen Rechnung tragen (E. 2.5.1 und 5.2).</w:t>
      </w:r>
    </w:p>
    <w:p>
      <w:r>
        <w:t>Regeste Art. 127 al. 3 Cst.; art. 89 al. 1 et art. 100 al. 5 LTF; pas de déchéance du droit de recours du contribuable en matière de double imposition intercantonale (changement de jurisprudence). Au regard des modifications survenues dans la situation de fait et de droit, la jurisprudence relative à la déchéance procédurale du droit de recours du contribuable en matière de double imposition intercantonale est abandonnée (changement de jurisprudence; consid. 2). Sur un plan matériel également, l'interdiction constitutionnelle de la double imposition intercantonale (art. 127 al. 3 Cst.) doit être en principe appliquée strictement. Demeurent seulement réservés certains cas de comportement abusif qualifié (consid. 4). Par ailleurs, le Tribunal fédéral peut tenir compte d'un comportement contraire aux règles de la bonne foi lors de la répartition des frais et des dépens (consid. 2.5.1 et 5.2).</w:t>
      </w:r>
    </w:p>
    <w:p>
      <w:r>
        <w:t>Regesto Art. 127 cpv. 3 Cost.; art. 89 cpv. 1 e art. 100 cpv. 5 LTF; nessuna perenzione del diritto di ricorso del contribuente in materia di doppia imposizione intercantonale (cambiamento della giurisprudenza). In considerazione delle modifiche intervenute nella situazione di fatto e di diritto, la giurisprudenza sulla perenzione processuale del diritto di ricorso del contribuente in materia di doppia imposizione intercantonale è abbandonata (cambiamento della giurisprudenza; consid. 2). Anche sul piano del diritto materiale, il divieto costituzionale di doppia imposizione intercantonale (art. 127 cpv. 3 Cost.) deve essere in linea di principio applicato rigorosamente. Restano riservati solo alcuni casi di comportamento abusivo qualificato (consid. 4). Inoltre, il Tribunale federale può tener conto di un comportamento contrario alle regole della buona fede nella ripartizione di tasse e spese ripetibili (consid. 2.5.1 e 5.2).</w:t>
      </w:r>
    </w:p>
    <w:p>
      <w:pPr>
        <w:pStyle w:val="Heading2"/>
      </w:pPr>
      <w:r>
        <w:t>Erwägungen</w:t>
      </w:r>
    </w:p>
    <w:p>
      <w:r>
        <w:rPr>
          <w:b/>
        </w:rPr>
        <w:t>E. 2</w:t>
      </w:r>
    </w:p>
    <w:p>
      <w:r>
        <w:t>Der Kanton Schwyz macht geltend, die Beschwerdeführer hätten ihr Beschwerderecht verwirkt. Die Beschwerdeführer bestreiten dies, weil sie sich nicht geradezu rechtsmissbräuchlich oder treuwidrig verhalten hätten.</w:t>
      </w:r>
    </w:p>
    <w:p>
      <w:r>
        <w:rPr>
          <w:b/>
        </w:rPr>
        <w:t>E. 2.1</w:t>
      </w:r>
    </w:p>
    <w:p>
      <w:r>
        <w:t>Nach der bisherigen Rechtsprechung verwirkt der Steuerpflichtige das Beschwerderecht bzw. das Recht zur Anfechtung der BGE 149 II 354 S. 357 (rechtskräftigen) kantonalen Veranlagung, wenn er seine Steuerpflicht in einem Kanton in Kenntnis des kollidierenden Steueranspruchs des anderen Kantons vorbehaltslos anerkennt. Von einer vorbehaltlosen Anerkennung geht die Praxis insbesondere aus, wenn sich der Steuerpflichtige der Veranlagung ausdrücklich oder stillschweigend unterwirft (vorbehaltlose Abgabe einer Steuererklärung), die geforderten Steuerbeträge vorbehaltslos bezahlt und die Einsprache bzw. Einlegung weiterer Rechtsmittel unterlässt ( BGE 147 I 325 E. 4.2.1; BGE 137 I 273 E. 3.3.3; je mit Hinweisen). Eine solche Verwirkung wird indessen nicht von Amtes wegen berücksichtigt, sondern muss von den betroffenen Behörden bzw. Kantonen geltend gemacht werden ( BGE 147 I 325 E. 4.2.1; BGE 137 I 273 E. 3.3.3). In einem Leiturteil aus dem Jahr 2020 hat das Bundesgericht klargestellt, dass ausserhalb der vorbehaltlosen Anerkennung des Steueranspruchs eine Verwirkung des Beschwerderechts entsprechend dem Charakter des Doppelbesteuerungsverbots als verfassungsmässiges Recht nur mit Zurückhaltung anzunehmen ist, nämlich dann, wenn sich das Verhalten der Steuerpflichtigen als geradezu rechtsmissbräuchlich bzw. treuwidrig darstellt ( BGE 147 I 325 E. 4.2.1). Die steuerpflichtige Person verhält sich gegenüber dem ersten Kanton insbesondere dann treuwidrig, wenn sie diesem gegenüber bewusst falsche Angaben gemacht hat (Urteil 2C_592/2018 vom 1. Oktober 2019 E. 6.4 und 6.6). Hingegen verhält sich eine steuerpflichtige Person noch nicht treuwidrig, wenn sie beim Kanton, gegen dessen Besteuerung sie sich schliesslich wehrt, zuvor eine unvollständige Anfrage für ein Steuerruling gestellt hat oder wenn sie den erstveranlagenden Kanton lediglich nicht über den kollidierenden Steueranspruch des anderen Kantons informiert, solange sie von diesem Steueranspruch keine gesicherte Kenntnis hat, sondern lediglich damit rechnen muss ( BGE 147 I 325 E. 4.4.2 und 4.4.3).</w:t>
      </w:r>
    </w:p>
    <w:p>
      <w:r>
        <w:rPr>
          <w:b/>
        </w:rPr>
        <w:t>E. 2.2</w:t>
      </w:r>
    </w:p>
    <w:p>
      <w:r>
        <w:t>Die Lehre steht der Verwirkung des Beschwerderechts spätestens seit Inkrafttreten des BGG skeptisch gegenüber (vgl. bereits unter altem Recht kritisch PETER LOCHER, Die Staatsrechtliche Beschwerde wegen Verletzung von Art. 46 Abs. 2 BV , ZBl 91/1990 S. 109; vgl. zur Rechtslage nach BGG BRUNNER/BEUSCH, in: Interkantonales Steuerrecht, Kommentar zum Schweizerischen Steuerrecht, 2. Aufl. 2021, § 42 N. 6 und 14; RAPHAËL GANI, Analyse de la jurisprudence du Tribunal fédéral en matière de double imposition intercantonale dans le deuxième semestre 2019, ASA 88 S. 883; PETER LOCHER, Einführung in das interkantonale Steuerrecht BGE 149 II 354 S. 358 [nachfolgend: Einführung], 4. Aufl. 2015, S. 153; OLIVIER MARGRAF, Interkantonales Verfahrensrecht der direkten Steuern, 2023, S. 217 und 291; XAVIER OBERSON, Droit fiscal suisse, 5. Aufl. 2021, § 23 Rz. 91; DANIEL DE VRIES-REILINGH, Doppelbesteuerung als mögliche Sanktion im interkantonalen Verhältnis - Besprechung des BGer 17.7.2017, 2C_655/2016, IFF Forum für Steuerrecht [FStR] 2019 S. 46 f.). Im Einklang mit dieser Skepsis hat auch das zitierte Leiturteil BGE 147 I 325 in der Literatur nur ein gemischtes Echo gefunden. Einhellig begrüsst wurde zwar, dass das Bundesgericht die Verwirkung des Beschwerderechts aufgrund treuwidrigen Verhaltens nur mit Zurückhaltung angenommen und damit gegenläufigen Tendenzen in seiner jüngeren Rechtsprechung Einhalt geboten habe (vgl. ANDREA PEDROLI, Novità giurisprudenziali nel campo del diritto tributario, RtiD 2021 II S. 566; FELIX RICHNER, Kommentar zu 2C_552/2019, Zürcher Steuerpraxis [ZStP] 2020 S. 315; BASTIAN THURNEYSEN, Steuerhoheit bei fehlender Geschäftstätigkeit und Verwirkung des Beschwerderechts, iusNet StR 1. Dezember 2020). Verschiedene Autoren bedauerten aber, dass sich das Bundesgericht in diesem Urteil nicht gänzlich vom Institut der Verwirkung des Beschwerderechts verabschiedet hat. Missbräuchlichem Verhalten sei auf materiell-rechtlicher Ebene zu begegnen (vgl. BRUNNER/BEUSCH, a.a.O., § 42 N. 17; DANIEL DE VRIES-REILINGH, Vom Hauptsteuerdomizil juristischer Personen und vom "Wandel" der Verwirkungseinrede zum Missbrauchsverbot im interkantonalen Steuerrecht, FStR 2021 S. 362).</w:t>
      </w:r>
    </w:p>
    <w:p>
      <w:r>
        <w:rPr>
          <w:b/>
        </w:rPr>
        <w:t>E. 2.3</w:t>
      </w:r>
    </w:p>
    <w:p>
      <w:r>
        <w:t>Die Kritik der Lehre am von der Praxis geschaffenen prozessrechtlichen Institut der Verwirkung des Beschwerderechts ist bedenkenswert. Das Bundesgericht hat sich damit weder in BGE 147 I 325 noch in seiner früheren Rechtsprechung vertieft auseinandergesetzt. Eine Änderung der Rechtsprechung müsste sich indessen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149 V 177 E. 4.5; BGE 147 V 342 E. 5.5.1; BGE 146 I 105 E. 5.2.2; BGE 145 I 227 E. 4). Es ist zu prüfen, ob diese Voraussetzungen hier erfüllt sind. BGE 149 II 354 S. 359</w:t>
      </w:r>
    </w:p>
    <w:p>
      <w:r>
        <w:rPr>
          <w:b/>
        </w:rPr>
        <w:t>E. 2.3.1</w:t>
      </w:r>
    </w:p>
    <w:p>
      <w:r>
        <w:t>Dazu ist zunächst ein Blick auf die Ursprünge der Verwirkungspraxis zu werfen: Bereits 1876 - also nur zwei Jahre nachdem der Verfassungsgeber von 1874 das Bundesgericht mit der Lösung der interkantonalen Doppelbesteuerungskonflikte betraut hatte - hatte das Bundesgericht zum ersten Mal festgehalten, dass das Beschwerderecht verwirkt, wenn gegen eine Veranlagung nicht rechtzeitig Rechtsmittel ergriffen wird (vgl. BGE 2 I 184 E. 2; vgl. auch BGE 28 I 119 E. 3 ;</w:t>
      </w:r>
    </w:p>
    <w:p>
      <w:r>
        <w:rPr>
          <w:b/>
        </w:rPr>
        <w:t>E. 2.3.2</w:t>
      </w:r>
    </w:p>
    <w:p>
      <w:r>
        <w:t>Auch in verfahrensrechtlicher Hinsicht hat sich die Ausgangslage im Lauf der Jahre stark gewandelt: Art. 86 Abs. 1 lit. d BGG sieht, anders als das Bundesrechtspflegegesetz (Art. 86 Abs. 2 des Bundesgesetzes vom 16. Dezember 1943 über die Organisation der Bundesrechtspflege [OG; AS 60 271]), keine Ausnahme von der Regel der Erschöpfung des kantonalen Instanzenzugs vor. Daraus hat das Bundesgericht geschlossen, dass im Geltungsbereich des BGG keine direkte Doppelbesteuerungsbeschwerde beim Bundesgericht mehr möglich ist und der Instanzenzug zwingend in mindestens einem Kanton durchlaufen werden muss (vgl. BGE 139 II 373 E. 1.4; BGE 133 I 308 E. 2.3; BGE 133 I 300 E. 2.3 und 2.4). Nach einigen Autoren wäre diese verfahrensrechtliche Änderung alleine schon Grund genug, um von der Verwirkung des Beschwerderechts Abstand zu nehmen, weil die Verwirkung des Beschwerderechts eng mit der Möglichkeit der direkten ("Sprung"-)Beschwerde beim Bundesgericht verbunden gewesen sei; dem Verhalten der steuerpflichtigen Person könne nunmehr im kantonalen Verfahren Rechnung getragen werden (vgl. LOCHER, Einführung, a.a.O., S. 153; vgl. auch BRUNNER/BEUSCH, a.a.O., § 42 N. 6 und 14, die auf die Möglichkeit der Kostenauflage hinweisen). Aus Art. 100 Abs. 5 BGG , wonach die Beschwerdefrist bei Beschwerden wegen interkantonaler Kompetenzkonflikte spätestens zu laufen beginnt, wenn in beiden Kantonen beim Bundesgericht anfechtbare Entscheide getroffen worden sind, leiten andere Autoren ab, der Gesetzgeber habe gerade vermeiden wollen, dass die steuerpflichtige Person ihre Veranlagung in allen Kantonen anfechten müsse. Dieses Anliegen werde konterkariert, wenn die steuerpflichtige Person ihr Beschwerderecht gegen den erstveranlagenden Kanton verwirke, bloss weil sie dort kein Rechtsmittel erhoben habe (GANI, a.a.O., S. 883; MARTIN KOCHER, in: Interkantonales Steuerrecht, Kommentar zum Schweizerischen BGE 149 II 354 S. 361 Steuerrecht, 2. Aufl. 2021, § 44 N. 546; vgl. auch OBERSON, a.a.O., § 23 Rz. 91).</w:t>
      </w:r>
    </w:p>
    <w:p>
      <w:r>
        <w:rPr>
          <w:b/>
        </w:rPr>
        <w:t>E. 2.3.3</w:t>
      </w:r>
    </w:p>
    <w:p>
      <w:r>
        <w:t>In praktischer Hinsicht fällt schliesslich ins Gewicht, dass die kantonale Steuerlast vor allem auf hohen Einkommen heute wesentlich schwerer wiegen dürfte als am Ende des 19. und zu Beginn des 20. Jahrhunderts. Damals erhoben viele Kantone nämlich nur Vermögens- und noch keine allgemeinen, progressiven Einkommenssteuern (vgl. KATHRIN KLETT, Progressive Einkommenssteuer und Leistungsfähigkeitsgrundsatz in der Schweiz - 100 Jahre nach Georg Schanz, in: Die Steuerrechtsordnung in der Diskussion, Festschrift für Klaus Tipke zum 70. Geburtstag, 1995, S. 602 ff.). Die Verwirkung des Beschwerderechts und die daraus resultierende interkantonale Doppelbesteuerung treffen die steuerpflichtigen Personen demnach im Schnitt heute deutlich härter als zu Beginn dieser Rechtsprechung. Umgekehrt sind die Veranlagung und die Rückerstattung von zu Unrecht bezogenen Steuern für die Kantone heute dank der Automatisierung der administrativen Prozesse mit bedeutend weniger Umtrieben verbunden, als dies früher der Fall war. Die Steuern, welche die Kantone im Fall der Verwirkung des Beschwerderechts einbehalten dürfen, obschon sie eigentlich kein Besteuerungsrecht hätten, werden deshalb den Veranlagungs- und Rückerstattungsaufwand, den die steuerpflichtige Person verursacht hat, in aller Regel bei weitem übersteigen.</w:t>
      </w:r>
    </w:p>
    <w:p>
      <w:r>
        <w:rPr>
          <w:b/>
        </w:rPr>
        <w:t>E. 2.4</w:t>
      </w:r>
    </w:p>
    <w:p>
      <w:r>
        <w:t>Wie die vorstehenden Erwägungen zeigen, hat sich die verfassungs- und die prozessrechtliche Situation seit der ursprünglichen Entwicklung der Verwirkungspraxis stark verändert. Zudem trifft die interkantonale Doppelbesteuerung die betroffenen Personen heute deutlich stärker als Ende des 19. und zu Beginn des 20. Jahrhunderts, während das Schutzbedürfnis der Kantone abgenommen hat. Dass das Bundesgericht in BGE 147 I 325 das prozessrechtliche Institut der Verwirkung des Beschwerderechts noch nicht grundsätzlich infrage gestellt hat, steht einer Praxisänderung im vorliegenden Fall ebenfalls nicht entgegen. Dort hatte das Bundesgericht nur eine spezifische Verhaltensweise zu beurteilen, die es schliesslich für nicht (hinreichend) treuwidrig hielt und demgemäss keine Verwirkung annahm ( BGE 147 I 325 E. 4.4.3). Demgegenüber steht hier nunmehr die klassische Verwirkungskonstellation (Anerkennung des Steueranspruchs eines Kantons in Kenntnis des kollidierenden Anspruchs eines anderen Kantons; vgl. BGE 147 I 325 E. 4.2.1) BGE 149 II 354 S. 362 zur Diskussion, weshalb sich eine grundsätzliche Überprüfung der Verwirkungspraxis aufdrängt.</w:t>
      </w:r>
    </w:p>
    <w:p>
      <w:r>
        <w:rPr>
          <w:b/>
        </w:rPr>
        <w:t>E. 2.5</w:t>
      </w:r>
    </w:p>
    <w:p>
      <w:r>
        <w:t>Aufgrund der nachfolgenden Überlegungen sowie der in der Literatur (vgl. oben E. 2.2 und 2.3.2) vorgetragenen Argumente erweist sich die Verwirkung des Beschwerderechts nicht länger als verhältnismässige Massnahme, um treuwidrigem Verhalten einer steuerpflichtigen Person im interkantonalen Verhältnis zu begegnen (anders noch Urteil 2C_274/2019 vom 13. September 2019 E. 4.3.2).</w:t>
      </w:r>
    </w:p>
    <w:p>
      <w:r>
        <w:rPr>
          <w:b/>
        </w:rPr>
        <w:t>E. 2.5.1</w:t>
      </w:r>
    </w:p>
    <w:p>
      <w:r>
        <w:t>Die Verwirkung des Beschwerderechts bezweckt in erster Linie den Schutz des erstveranlagenden Kantons. Dieser hat zwar ein legitimes Interesse daran, keinen unnötigen Veranlagungs- oder sonstigen Aufwand betreiben zu müssen. Dieses Interesse rechtfertigt es aber nicht, diesen Kanton durch Annahme der Verwirkung des Beschwerderechts bezogene Steuern behalten zu lassen, zu deren Erhebung er nach harmonisiertem kantonalen Recht oder doppelbesteuerungsrechtlich nicht berechtigt ist, insbesondere wenn diese Steuern in keiner vernünftigen Relation zum verursachten Aufwand stehen. Stattdessen kann diesem Interesse Rechnung getragen werden, indem die steuerpflichtige Person im bundesgerichtlichen Verfahren ausnahmsweise verpflichtet wird, den erstveranlagenden Kanton für den verursachten Verfahrensaufwand zu entschädigen ( Art. 68 Abs. 3 und 5 BGG ; BRUNNER/BEUSCH, a.a.O., § 42 N. 14).</w:t>
      </w:r>
    </w:p>
    <w:p>
      <w:r>
        <w:rPr>
          <w:b/>
        </w:rPr>
        <w:t>E. 2.5.2</w:t>
      </w:r>
    </w:p>
    <w:p>
      <w:r>
        <w:t>Wesentlich schwerer als das Interesse des erstveranlagenden Kantons wiegt ohnehin das Interesse des zweitveranlagenden, zur Besteuerung effektiv berechtigten Kantons daran, dass sich steuerpflichtige Personen ihrer kantonalen Steuerpflicht nicht entziehen, indem sie eine Steuerpflicht in einem anderen Kanton vorspiegeln. In einigen jüngeren Urteilen hat das Bundesgericht gerade mit Blick auf dieses Interesse des berechtigten Kantons die Verwirkung des Beschwerderechts angenommen respektive die Beseitigung der Doppelbesteuerung verweigert (vgl. vor allem Urteil 2C_655/2016 vom 17. Juli 2017 E. 2.4.2; ausserdem Urteile 2C_663/2019 vom 26. März 2020 E. 2.3.1, in: StE 2020 A 24.5 Nr. 8; 2C_274/2019 vom 13. September 2019 E. 4.3.1, in: StE 2020 A 24.5 Nr. 7). Um der Besteuerung durch den berechtigten Kanton zu entgehen, wird sich die steuerpflichtige Person allerdings selten damit begnügen können, die Besteuerung durch einen unberechtigten Kanton vorbehaltlos zu akzeptieren. Vielmehr wird sie typischerweise zusätzliche Vorkehrungen treffen müssen, etwa indem sie den Behörden BGE 149 II 354 S. 363 falsche oder unvollständige Auskünfte erteilt. Gesamthaft betrachtet besteht das missbräuchliche Verhalten also regelmässig darin, dass die steuerpflichtige Person versucht, den einen Kanton gegen den anderen auszuspielen. Damit beeinträchtigt sie typischerweise in erster Linie nicht die Interessen des erstveranlagenden Kantons, sondern jene desjenigen Kantons, dessen berechtigter, gesetzmässiger Besteuerung sie sich entziehen will. Der legitime Steueranspruch dieses Kantons lässt sich nun aber nicht sachgerecht und wirksam schützen, indem der steuerpflichtigen Person das Recht zur Beschwerde gegen den unberechtigten Kanton respektive das verfassungsmässige Recht auf Beseitigung der Doppelbesteuerung entzogen wird. Denn davon profitiert in erster Linie der andere Kanton, der gerade keinen legitimen Steueranspruch hat.</w:t>
      </w:r>
    </w:p>
    <w:p>
      <w:r>
        <w:rPr>
          <w:b/>
        </w:rPr>
        <w:t>E. 2.5.3</w:t>
      </w:r>
    </w:p>
    <w:p>
      <w:r>
        <w:t>Der zur Besteuerung berechtigte Kanton ist dem Fehlverhalten von steuerpflichtigen Personen aber auch im interkantonalen Verhältnis nicht hilflos ausgeliefert. Denn solches Fehlverhalten - vor allem die fehlerhafte Deklaration oder die Erteilung falscher oder unvollständiger Auskünfte - wird regelmässig den Tatbestand der versuchten Steuerhinterziehung erfüllen (vgl. Art. 56 Abs. 2 des Bundesgesetzes vom 14. Dezember 1990 über die Harmonisierung der direkten Steuern der Kantone und Gemeinden [StHG; SR 642.14] ). Darauf wurde in der Literatur bereits zutreffend hingewiesen (PEDROLI, a.a.O., S. 567).</w:t>
      </w:r>
    </w:p>
    <w:p>
      <w:r>
        <w:rPr>
          <w:b/>
        </w:rPr>
        <w:t>E. 2.6</w:t>
      </w:r>
    </w:p>
    <w:p>
      <w:r>
        <w:t>Da die Praxis zur Verwirkung des Beschwerderechts nach dem Gesagten aufzugeben ist, erweist sich die Verwirkungseinrede des Kantons Schwyz von vornherein als unbegründet. Ob sich das angebliche treuwidrige Verhalten der Beschwerdeführer auf die vorbehaltlose Anerkennung des Steueranspruchs beschränkt hat oder ihnen darüber hinaus weiteres treuwidriges Verhalten vorzuwerfen ist, stellt folglich jedenfalls keine Frage der Zulässigkeit der Beschwerde dar. Auf die Beschwerde ist einzutreten. (...) 4. 4.1 Bereits im Verfahren vor dem Verwaltungsgericht des Kantons St. Gallen war nicht streitig, dass die Beschwerdeführer ihren Wohnsitz am Ende der streitbetroffenen Steuerperiode im Kanton St. Gallen hatten und folglich nach harmonisiertem kantonalen Steuerrecht dort und nicht im Kanton Schwyz unbeschränkt steuerpflichtig waren (vgl. Art. 13 Abs. 1 des Steuergesetzes des Kantons St. Gallen BGE 149 II 354 S. 364 vom 9. April 1998 [StG/SG; sGS 811.1]; § 4 Abs. 1 des Steuergesetzes des Kantons Schwyz vom 9. Februar 2000 [StG/SZ; SRSZ 172.200]; Art. 3 Abs. 1 und Art. 4b Abs. 1 StHG ). Auch vor Bundesgericht stellen die Beschwerdeführer den Steueranspruch des Kantons St. Gallen respektive den angefochtenen Entscheid des Verwaltungsgerichts des Kantons St. Gallen nur eventualiter infrage. 4.2 Der Kanton Schwyz anerkennt vor Bundesgericht ausdrücklich, dass die Beschwerdeführer am Ende der streitbetroffenen Steuerperiode Wohnsitz im Kanton St. Gallen und nicht im Kanton Schwyz hatten. Daraus folgt notwendigerweise, dass die Veranlagung des Kantons Schwyz gegen harmonisiertes kantonales Steuerrecht verstösst. Ausserdem bedeutet diese doppelte Veranlagung der Beschwerdeführer eine interkantonale Doppelbesteuerung im Sinne von Art. 127 Abs. 3 BV (vgl. zum Begriff BGE 148 I 65 E. 3.1 mit Hinweisen). 4.3 Der Antrag der Beschwerdeführer auf Aufhebung der Veranlagung des Kantons Schwyz ist demnach grundsätzlich begründet. Fragen kann sich nur noch, ob diesem Antrag ein Rechtsmissbrauch entgegensteht. 4.4 Dies ist zu verneinen. 4.4.1 Abzulehnen ist in diesem Zusammenhang vorab eine in der Literatur vertretene Position, wonach bestimmte Verhaltensweisen über eine teleologische Auslegung von Art. 127 Abs. 3 BV vom Schutzbereich des Doppelbesteuerungsverbots auszunehmen sind (MARCEL R. JUNG, Treu und Glauben als Schranke des interkantonalen Doppelbesteuerungsverbots, StR 75/2020 S. 799 und 805 mit Hinweis auf THOMAS GÄCHTER, Rechtsmissbrauchsverbot im öffentlichen Recht, 2005, S. 304 ff. und 441 ff.). Wie bereits erwähnt, bezweckt das Doppelbesteuerungsverbot gemäss Art. 127 Abs. 3 BV einerseits den Schutz der steuerpflichtigen Person, andererseits den Schutz der Steuerhoheit des berechtigten Kantons (vgl. oben E. 2.5.1). Es überzeugt nicht, diesen Zweck um Verhaltensgebote zugunsten des unberechtigten Kantons anzureichern und das Doppelbesteuerungsverbot einschliesslich des verfassungsmässigen Rechts der steuerpflichtigen Person auf diese Weise teleologisch einzuschränken (so aber JUNG, a.a.O., S. 799 ff.). Hinzu kommt, dass dieser Ansatz ins Leere greift, wenn die Veranlagung des unberechtigten Kantons wie im vorliegenden Fall bereits gegen das harmonisierte kantonale Steuerrecht verstösst, sodass sich die steuerpflichtige Person auf BGE 149 II 354 S. 365 materiell-rechtlicher Ebene gar nicht erst auf Art. 127 Abs. 3 BV zu berufen braucht (vgl. zur Rangfolge zwischen dem harmonisierten kantonalen Steuerrecht und dem interkantonalen Doppelbesteuerungsrecht BGE 148 I 65 E. 3.2). 4.4.2 Andere Autoren erwägen, dass steuerpflichtige Personen ihren Anspruch auf Beseitigung der interkantonalen Doppelbesteuerung aus Art. 127 Abs. 3 BV materiell-rechtlich verlören, wenn sie sich widersprüchlich oder anderweitig missbräuchlich verhielten (vgl. BRUNNER/BEUSCH, a.a.O., § 42 N. 17; DE VRIES-REILINGH, a.a.O., FStR 2021 S. 362). Eine solche materiell-rechtliche "Verwirkung des Schutzes des Doppelbesteuerungsverbots" (BRUNNER/BEUSCH, a.a.O., § 42 N. 17) erscheint zwar nicht von vornherein als ausgeschlossen. Bei der Berufung auf das Verbot widersprüchlichen Verhaltens ist jedoch praxisgemäss - insbesondere bei passivem Verhalten - Zurückhaltung angebracht, da dies stets auf eine Verkürzung der gesetzlichen Rechtspositionen der Bürgerinnen und Bürger hinausläuft ( BGE 143 V 66 E. 4.3 mit Hinweis auf GÄCHTER, a.a.O., S. 194 ff., S. 197). Vor diesem Hintergrund könnte die Beseitigung einer grundsätzlich verfassungswidrigen interkantonalen Doppelbesteuerung nur dann verweigert werden, wenn sich das Verhalten einer doppelt besteuerten Person als qualifiziert missbräuchlich erweist und der betroffene Kanton zugleich ausnahmsweise ein legitimes Interesse daran hat, bezogene Steuern einzubehalten, obschon er nach interkantonalem Doppelbesteuerungsrecht oder sogar bereits nach harmonisiertem Steuerrecht keinen Steueranspruch hat (vgl. allgemein zur erforderlichen Interessenabwägung bei widersprüchlichem Verhalten Privater GÄCHTER, a.a.O., S. 203 ff.). Eine solche Ausnahmekonstellation ist hier klarerweise nicht gegeben. Weder wiegt das Fehlverhalten der Beschwerdeführer gegenüber dem Kanton Schwyz - aus steuerlicher Sicht - besonders schwer, noch erscheinen die Interessen des Kantons Schwyz als besonders beeinträchtigt, wenn er zur Rückerstattung der bezogenen Steuern verpflichtet wird. Inwieweit das Fehlverhalten der Beschwerdeführer dazu führt, dass ihnen Verfahrenskosten aufzuerlegen sind (vgl. oben E. 2.5.1), ist unter dem Titel der Verlegung der Kosten- und Entschädigungsfolgen zu erörtern (vgl. unten E. 5.2).</w:t>
      </w:r>
    </w:p>
    <w:p>
      <w:r>
        <w:rPr>
          <w:b/>
        </w:rPr>
        <w:t>E. 5</w:t>
      </w:r>
    </w:p>
    <w:p>
      <w:r>
        <w:t>I 141 E. 1). In der damaligen Zeit verstand das Bundesgericht die interkantonale Doppelbesteuerung zumindest primär als Souveränitätskonflikt zwischen zwei Kantonen. Es beschränkte sich vorerst darauf, die zuvor von der Bundesversammlung entwickelte Doppelbesteuerungspraxis fortzuführen. Erst später ging es dazu über, aus Art. 46 Abs. 2 aBV ein verfassungsmässiges Verbot der interkantonalen Doppelbesteuerung abzuleiten, das neben dem berechtigten Kanton auch den Einzelnen vor interkantonaler Doppelbesteuerung schützte (vgl. BGE 37 I 37 E. 2; vgl. auch BGE 41 I 68 E. 1 ; 38 I 478 E. 1; zum Ganzen ANDREAS THIER, Traditionselemente des Finanzföderalismus in der Schweiz: Zur Geschichte des interkantonalen Doppelbesteuerungsverbots, in: Dogmatik und Praxis im Steuerrecht, Festschrift für Markus Reich, 2014, S. 18 ff.; MORITZ SEILER, Finanzföderalistische Friktionen, in: (... Titel auf Altgriechisch) - gehorche den Gesetzen, Liber amicorum für Hansjörg Seiler, 2022, S. 212 f.). Gleich wie die Verwirkung des Besteuerungsrechts des zweitveranlagenden Kantons (vgl. dazu BGE 147 I 325 E. 4.2.2; BGE 137 I 273 E. 3.3.4) sollte das Institut der Verwirkung des Beschwerderechts den erstveranlagenden Kanton davor schützen, aufgrund einer rechtskräftigen Veranlagung bezogene Steuern Jahre später noch zurückerstatten zu müssen (vgl. BGE 73 I 223 E. 3). Wie das Bundesgericht bereits in BGE 147 I 325 E. 4.2.1 angedeutet hat, geht dieser Schutz der Kantone auf Kosten des Doppelbesteuerungsverbots und des darin enthaltenen verfassungsmässigen Rechts der steuerpflichtigen Person. Im Geltungsbereich von Art. 46 Abs. 2 aBV liess sich ein solcher Eingriff zum Schutz der steuererhebenden Kantone eher noch rechtfertigen, zumal das Doppelbesteuerungsverbot und das Individualrecht der steuerpflichtigen Person nicht unmittelbar aus dem Wortlaut der Verfassung, sondern erst aus der über die Jahre zu Art. 46 Abs. 2 aBV entwickelten Praxis folgten. Ausserdem war für die Kantone gerade in der Anfangszeit der Rechtsprechung auf dem Gebiet der interkantonalen Doppelbesteuerung regelmässig nicht absehbar, welchem Kanton das BGE 149 II 354 S. 360 Bundesgericht das Besteuerungsrecht zuweisen würde. Mit Art. 127 Abs. 3 BV verbietet das geschriebene Verfassungsrecht die interkantonale Doppelbesteuerung nunmehr jedoch ausdrücklich. Aus den Materialien ergibt sich, dass damit das verfassungsmässige Recht der steuerpflichtigen Person kodifiziert werden sollte (vgl. Botschaft vom 20. November 1996 über eine neue Bundesverfassung, BBl 1996 I 346 [zu Art. 118 E-BV]). Zudem besteht heute dank der jahrzehntelangen Rechtsprechung im Bereich der interkantonalen Doppelbesteuerung kaum mehr Rechtsunsicherheit, wenn es um die Frage geht, welchem Kanton das Besteuerungsrecht zukommt.</w:t>
      </w:r>
    </w:p>
    <w:p>
      <w:r>
        <w:rPr>
          <w:b/>
        </w:rPr>
        <w:t>E. 5.1</w:t>
      </w:r>
    </w:p>
    <w:p>
      <w:r>
        <w:t>Die Beschwerde erweist sich als begründet und ist gutzuheissen, soweit sie sich gegen den Kanton Schwyz richtet. Der BGE 149 II 354 S. 366 Eventualantrag gegen den Kanton St. Gallen wird dadurch gegenstandslos (Urteile 2C_615/2021 vom 23. September 2022 E. 4; 2C_830/2021 vom 14. Juni 2022 E. 6.2).</w:t>
      </w:r>
    </w:p>
    <w:p>
      <w:r>
        <w:rPr>
          <w:b/>
        </w:rPr>
        <w:t>E. 5.2</w:t>
      </w:r>
    </w:p>
    <w:p>
      <w:r>
        <w:t>Bei diesem Verfahrensausgang wäre der unterliegende Kanton grundsätzlich zur Bezahlung der Gerichtskosten und einer Parteientschädigung zu verpflichten (vgl. Urteil 2C_615/2021 vom 23. September 2022 E. 4). Es ist jedoch zu prüfen, ob es sich angesichts des Verhaltens der Beschwerdeführer rechtfertigt, die Kosten- und Entschädigungsfolgen - auch des kantonalen Verfahrens ( Art. 68 Abs. 5 BGG ) - anders zu verlegen (vgl. auch oben E. 2.5.1 und 4.4.2).</w:t>
      </w:r>
    </w:p>
    <w:p>
      <w:r>
        <w:rPr>
          <w:b/>
        </w:rPr>
        <w:t>E. 5.2.1</w:t>
      </w:r>
    </w:p>
    <w:p>
      <w:r>
        <w:t>Der Kanton Schwyz macht geltend, dass sich die Beschwerdeführer am 12. April 2018 in der Gemeinde Y./SZ angemeldet hätten. Diese Anmeldung sei vermutlich erfolgt, damit die Beschwerdeführer respektive ihre Kinder zu günstigeren Konditionen vom Bildungsangebot an zwei Schulen im Kanton Schwyz (Kantonsschule C. und Musikschule Y.) profitieren konnten. Hingegen behauptet der Kanton Schwyz nicht, dass die Beschwerdeführer versucht hätten, sich der Besteuerung durch den Kanton St. Gallen zu entziehen. Das Verwaltungsgericht des Kantons St. Gallen (vgl. angefochtenes Urteil Bst. A.a), die Beschwerdeführer und der Kanton Schwyz weisen auf ein Schreiben vom 30. April 2018 an die Steuerverwaltung der Stadt U. hin. In diesem Schreiben machten die Beschwerdeführer darauf aufmerksam, dass sie ihren zivilrechtlichen Wohnsitz in den Kanton Schwyz verlegt hätten, dies aber auf die steuerliche Situation keinen Einfluss habe, weil sich der Lebensmittelpunkt der Familie weiterhin in U. befinde. Am 3. Juli 2018 teilte die Leiterin der Steuerverwaltung der Stadt U. der Steuervertreterin der Beschwerdeführer mit, dass sie nun endlich - nach Wochen - das Steueramt V./SZ telefonisch erreicht habe. Dieses habe auf der primären Steuerpflicht im Kanton Schwyz bestanden, weil der Wohnsitz massgebend sei. Sie habe die Steuerpflicht im sankt-gallischen Register auf eine sekundäre Steuerpflicht angepasst, sodass nun keine Zahlungen mehr zu leisten seien. Nach dieser Auskunft reichten die Beschwerdeführer im Kanton Schwyz eine Steuererklärung ein, die sie am 26. Juni 2019 in Kopie der Steuerverwaltung der Stadt U. zustellten ( Art. 105 Abs. 2 BGG ).</w:t>
      </w:r>
    </w:p>
    <w:p>
      <w:r>
        <w:rPr>
          <w:b/>
        </w:rPr>
        <w:t>E. 5.2.2</w:t>
      </w:r>
    </w:p>
    <w:p>
      <w:r>
        <w:t>Durch ihre Anmeldung in der Gemeinde Y. haben die Beschwerdeführer eine Ursache dafür gesetzt, dass sie schliesslich für die Steuerperiode 2018 vom Kanton Schwyz veranlagt wurden. Im BGE 149 II 354 S. 367 Zeitpunkt der Veranlagung durch den Kanton Schwyz wussten sie zudem, dass der Kanton St. Gallen ihren Wohnsitz abklärte. Nach Treu und Glauben hätte von ihnen erwartet werden dürfen, dass sie die Schwyzer Veranlagungsbehörde hierüber informieren. Diesem Fehlverhalten der Beschwerdeführer stehen Versäumnisse seitens der Behörden des Kantons Schwyz gegenüber. Gemäss dem Einspracheentscheid des Kantonalen Steueramts St. Gallen hatte dieses im Januar 2020 "direkt beim Kanton Schwyz oder möglicherweise in Y. nachgefragt [...], ob die Veranlagung 2018 bereits vorgenommen" worden sei. Die Steuerverwaltung des Kantons Schwyz stellt dies nicht in Abrede. Das Gemeindesteueramt V./SZ war derweil laut der Leiterin der Steuerverwaltung der Stadt U. sogar bereits 2018 über die Situation der Beschwerdeführer informiert worden. In Anbetracht dessen, dass die Beschwerdeführer für das streitbetroffene Jahr in der Arztpraxis des Beschwerdeführers angemeldet waren, hätte dies Anlass genug sein müssen, um weitere Abklärungen zu treffen.</w:t>
      </w:r>
    </w:p>
    <w:p>
      <w:r>
        <w:rPr>
          <w:b/>
        </w:rPr>
        <w:t>E. 5.2.3</w:t>
      </w:r>
    </w:p>
    <w:p>
      <w:r>
        <w:t>Ob die Anmeldung der Beschwerdeführer im Kanton Schwyz dazu diente, von günstigeren Schulgebühren zu profitieren, ist entgegen dem Kanton Schwyz für das steuerrechtliche Verfahren ohne Belang. Welche Konsequenzen eine solche Anmeldung auf schul- bzw. schulgebührenrechtlicher Ebene nach sich zieht, ist demnach an dieser Stelle nicht zu beurteilen.</w:t>
      </w:r>
    </w:p>
    <w:p>
      <w:r>
        <w:rPr>
          <w:b/>
        </w:rPr>
        <w:t>E. 5.3</w:t>
      </w:r>
    </w:p>
    <w:p>
      <w:r>
        <w:t>Das Verhalten der Beschwerdeführer gegenüber dem Kanton Schwyz ist mit Treu und Glauben nicht zu vereinbaren. Allerdings haben sich auch die Behörden des Kantons Schwyz nicht einwandfrei verhalten. Vor diesem Hintergrund erscheint es als angemessen, die Gerichtskosten - trotz Obsiegens der Beschwerdeführer - zu drei Vierteln den Beschwerdeführern und zu einem Viertel dem Kanton Schwyz aufzuerlegen und keine Parteientschädigungen zuzusprechen ( Art. 66 Abs. 1 und Art. 68 Abs. 1 BGG ). Für das kantonale Verfahren rechtfertigt sich keine abweichende Verteilung der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