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320</w:t>
      </w:r>
    </w:p>
    <w:p>
      <w:r>
        <w:t>Bundesgericht (BGE), 2023-01-01, FR</w:t>
      </w:r>
    </w:p>
    <w:p>
      <w:r>
        <w:rPr>
          <w:b/>
        </w:rPr>
        <w:t xml:space="preserve">Quelle: </w:t>
      </w:r>
      <w:r>
        <w:t>https://mcp.opencaselaw.ch/entscheid/bge_BGE_149_II_320</w:t>
      </w:r>
    </w:p>
    <w:p>
      <w:r>
        <w:t>FR: ATF 149 II 320</w:t>
      </w:r>
    </w:p>
    <w:p>
      <w:r>
        <w:t>IT: DTF 149 II 320</w:t>
      </w:r>
    </w:p>
    <w:p>
      <w:pPr>
        <w:pStyle w:val="Heading2"/>
      </w:pPr>
      <w:r>
        <w:t>Regeste</w:t>
      </w:r>
    </w:p>
    <w:p>
      <w:r>
        <w:t>Regeste aArt. 54 WRG; Art. 45, 46 und 54 WRG; Wasserkraftwerk Emosson; aufeinanderfolgende Konzessionen; wohlerworbenes Recht; Rückgabevertrag; Auslegung der Konzessionen. Anwendbares Recht (E. 3). Schicksal des Rechts zur Nutzung der Wasserkraft, das dem ersten Konzessionär gewährt wurde, im Fall von aufeinanderfolgenden Konzessionen. Hinweis auf die Regeln zur Auslegung von Wasserrechtskonzessionen (E. 5). Die Konzession für den Betrieb des Wasserkraftwerks Emosson umfasst nicht das Recht zur Nutzung der Wasserkraft, das zuvor der SBB eingeräumt wurde. Dieses Recht fiel nach Ablauf der Konzession der SBB an die Verleihungsbehörde zurück (E. 6).</w:t>
      </w:r>
    </w:p>
    <w:p>
      <w:r>
        <w:t>Regeste Ancien art. 54 LFH; art. 45, 46 et 54 LFH; aménagement hydroélectrique d'Emosson; concessions successives; droit acquis; contrat de restitution; interprétation des concessions. Droit applicable (consid. 3). Sort du droit d'utiliser la force hydraulique octroyé au premier concessionnaire en cas de concessions successives. Rappel des règles d'interprétation des concessions hydrauliques (consid. 5). La concession octroyée pour exploiter l'aménagement hydroélectrique d'Emosson ne comprend pas le droit d'utiliser les forces hydrauliques qui avait été antérieurement concédé aux CFF. Partant, à l'expiration de la concession de ces derniers, ce droit est revenu à l'autorité concédante (consid. 6).</w:t>
      </w:r>
    </w:p>
    <w:p>
      <w:r>
        <w:t>Regesto Previgente art. 54 LUFI; artt. 45, 46 e 54 LUFI; impianto idroelettrico di Emosson; concessioni successive; diritto acquisito; contratto di restituzione; interpretazione delle concessioni. Diritto applicabile (consid. 3). Sorte del diritto di utilizzare la forza idrica dato al primo concessionario in caso di concessioni successive. Richiamo delle regole d'interpretazione delle concessioni idriche (consid. 5). La concessione rilasciata per la gestione dell'impianto idroelettrico di Emosson non include il diritto di utilizzazione delle forze idriche precedentemente concesso alle FFS. Di conseguenza, alla scadenza della concessione di queste ultime vi è riversione di detto diritto all'autorità concedente (consid. 6).</w:t>
      </w:r>
    </w:p>
    <w:p>
      <w:pPr>
        <w:pStyle w:val="Heading2"/>
      </w:pPr>
      <w:r>
        <w:t>Erwägungen</w:t>
      </w:r>
    </w:p>
    <w:p>
      <w:r>
        <w:rPr>
          <w:b/>
        </w:rPr>
        <w:t>E. 3</w:t>
      </w:r>
    </w:p>
    <w:p>
      <w:r>
        <w:t>En droit fédéral, les concessions hydroélectriques sont régies par la loi fédérale du 22 décembre 1916 sur l'utilisation des forces hydrauliques (loi sur les forces hydrauliques, LFH; RS 721.80), en vigueur depuis le 1 er janvier 1918. Depuis cette date, certaines dispositions de cette loi ont été modifiées. C'est le cas de l'art. 54, consacré aux dispositions obligatoires des concessions, dont la teneur actuelle résulte d'une révision partielle de la loi, entrée en vigueur le 1 er mai 1997 (RO 1997 991).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 ATF 138 V 176 consid. 7.1; ATF 137 V 105 consid. 5.3.1; ATF 129 II 497 consid. 5.3.2). En l'occurrence, le litige concerne une concession qui a été octroyée avant l'entrée en vigueur de la révision partielle susmentionnée. Faute de droit transitoire, c'est l'ancien art. 54 LFH dans sa teneur en vigueur en 1966 qui est applicable à la présente cause. (...)</w:t>
      </w:r>
    </w:p>
    <w:p>
      <w:r>
        <w:rPr>
          <w:b/>
        </w:rPr>
        <w:t>E. 5</w:t>
      </w:r>
    </w:p>
    <w:p>
      <w:r>
        <w:t>Selon l' art. 76 al. 2 Cst. (cf. art. 24 bis al. 1 let. b aCst. ), la Confédération est compétente pour fixer les principes applicables à l'utilisation de l'eau pour la production d'énergie. A cet effet, elle a édicté la loi fédérale du 22 décembre 1916 sur les forces hydrauliques ( ATF 128 II 112 consid. 4a; arrêt 2C_453/2020 du 5 août 2021 consid. 6). Selon l' art. 3 al. 1 LFH , la communauté qui dispose de la force d'un cours d'eau peut l'utiliser elle-même ou en concéder l'utilisation à des tiers. Par ailleurs, en vertu de l' art. 76 al. 5 Cst. (cf. art. 24 bis al. 4 aCst. ), la Confédération statue, avec le concours des cantons concernés, sur les droits relatifs aux ressources en eau qui intéressent plusieurs Etats. Cette disposition habilite la Confédération à adopter les conventions internationales nécessaires à la réalisation d'un ouvrage à caractère international et à délivrer la concession pour la part relevant des ressources en eaux suisses (POLTIER/LARGEY, in Commentaire romand, Constitution fédérale, vol. I, 2021, n° 58 ad art. 76 Cst. ). Pour l'aménagement d'Emosson, qui accumule des eaux provenant de plusieurs vallées situées en France et en Suisse, la Confédération a, conformément à cette disposition constitutionnelle, conclu une convention BGE 149 II 320 S. 326 avec la République française le 23 août 1963 et octroyé à la recourante une concession le 27 juin 1966 (supra let. A.b-A.d).</w:t>
      </w:r>
    </w:p>
    <w:p>
      <w:r>
        <w:rPr>
          <w:b/>
        </w:rPr>
        <w:t>E. 5.1</w:t>
      </w:r>
    </w:p>
    <w:p>
      <w:r>
        <w:t>Par la concession hydroélectrique, la collectivité concédante confère ainsi à un particulier le droit d'exploiter des eaux publiques pour produire de l'électricité (ETIENNE POLTIER, Droit suisse de l'énergie, 2020, p. 92; JACQUES FOURNIER, Vers un nouveau droit des concessions hydroélectriques, 2002, p. 4). Au travers de la concession, le concessionnaire acquiert, dans les limites de l'acte de concession, le droit d'utiliser le cours d'eau ( art. 43 al. 1 LFH ). Une fois concédé, le droit d'utilisation ne peut être retiré ou restreint sauf pour cause d'utilité publique et moyennant indemnité ( art. 43 al. 2 LFH ). Les droits conférés par une concession au concessionnaire relèvent donc de la catégorie des droits acquis, tant que dure la concession (cf. ATF 145 II 140 consid. 4.2; ATF 142 I 99 consid. 2.4.3; ATF 128 II 112 consid. 10b/bb); arrêt 1C_494/2015 du 3 novembre 2017 consid. 3.1; POLTIER, op. cit., p. 97 n. 248).</w:t>
      </w:r>
    </w:p>
    <w:p>
      <w:r>
        <w:rPr>
          <w:b/>
        </w:rPr>
        <w:t>E. 5.2</w:t>
      </w:r>
    </w:p>
    <w:p>
      <w:r>
        <w:t>Il peut arriver que le droit d'utiliser les forces hydrauliques d'un cours d'eau soit concédé successivement à deux concessionnaires distincts (cf. ATF 130 II 18 consid. 3.3). Tel est le cas lorsqu'une première concession a été accordée en lien avec le droit d'utiliser la force hydraulique dépendant d'un premier système de retenue et que ce système fait par la suite l'objet d'une seconde phase de construction en vue d'améliorer la production d'énergie, entraînant l'octroi d'une seconde concession portant sur un volume d'eau supérieur, accordée à un autre concessionnaire (HANS WYER, Rechtsfragen der Wasserkraftnutzung, 2000, p. 43 s.; FOURNIER, op. cit., p. 147; DOMINIK STRUB, Wohlerworbene Rechte, Insbesondere im Bereich des Elektrizitätsrechts, 2001, p. 191). Ces situations donnent lieu à un réseau d'accords souvent complexes (FOURNIER, op. cit., p. 145). Le droit fédéral n'exclut pas ce cas de figure, mais prévoit, à l' art. 45 LFH , que la concession ne porte pas atteinte aux droits privés des tiers ou aux concessions antérieures (STRUB, op. cit., p. 192). En d'autres termes, la nouvelle concession ne peut porter atteinte aux droits acquis du premier concessionnaire, de sorte qu'un système doit être mis en place pour éviter cette conséquence (WYER, op. cit., p. 44 s.). A cet égard, plusieurs solutions sont envisageables (cf. WYER, op. cit., p. 44 s.). Si la seconde concession englobe la force hydraulique qui faisait l'objet de la première concession ("umfassende Zweitkonzession"; WYER, op. cit., p. 46), il y a atteinte aux droits acquis du premier concessionnaire (BALTHASAR BRANDNER, in Kommentar zum BGE 149 II 320 S. 327 Energierecht, vol. I, 2016, n° 2 ad art. 45 LFH ). Ce dernier peut se voir alors exproprier ses droits d'utilisation par le second concessionnaire qui s'en est vu accorder le droit par l'autorité concédante (cf. art. 46 LFH ), moyennant une pleine indemnité (BRANDNER, op. cit., n os 12 ss ad art. 46 LFH ; BLAISE KNAPP, La fin des concessions hydrauliques, Revue de droit suisse, 1982, p. 133). Il se peut aussi, comme on le rencontre en pratique, qu'un accord de reprise soit conclu entre les deux concessionnaires (contrat de restitution). Par ce contrat, que la doctrine estime relever du droit privé et qui constitue une solution juridiquement hybride par rapport à la garantie des droits acquis, les concessionnaires conviennent de prestations compensatoires versées par le nouveau concessionnaire au précédent. Celles-ci peuvent prendre la forme de fourniture d'énergie, d'argent ou du droit de continuer d'utiliser une partie de l'eau (WYER, op. cit., p. 45; STRUB, op. cit., p. 192; FOURNIER, op. cit., p. 147; BRANDNER, op. cit., n° 2 ad art. 45 LFH ). Enfin, il est aussi concevable que la seconde concession soit limitée et ne porte pas sur les droits accordés au premier concessionnaire ("echte beschränkte Zweitkonzession"; WYER, op. cit., p. 46). Celui-ci peut alors continuer à exploiter la force hydraulique conformément à sa concession. Définir quel système a été choisi est déterminant pour savoir à qui reviennent les droits d'utiliser la force hydraulique à l'expiration de la première concession. Ces droits reviennent de facto au second concessionnaire, si la seconde concession avait absorbé les droits de la première; ils font en effet alors partie des droits acquis du second concessionnaire (STRUB, op. cit., p. 192). En revanche, ils reviennent à l'autorité concédante si la seconde concession réservait les droits du premier concessionnaire et excluait ceux-ci de la seconde concession. Pour déterminer qui peut disposer des droits conférés par la première concession à l'expiration de celle-ci, il convient donc d'interpréter les différents accords conclus en fonction du cas d'espèce (STRUB, op. cit., p. 192; WYER, op. cit., p. 47). A cet égard, l'interprétation de la seconde concession revêt une importance particulière.</w:t>
      </w:r>
    </w:p>
    <w:p>
      <w:r>
        <w:rPr>
          <w:b/>
        </w:rPr>
        <w:t>E. 5.3</w:t>
      </w:r>
    </w:p>
    <w:p>
      <w:r>
        <w:t>Les règles d'interprétation des concessions hydrauliques dépendent de la nature de la clause concernée. En effet, la concession hydroélectrique est un acte juridique mixte, composé de clauses bilatérales (ou contractuelles) et de clauses unilatérales (ou décisionnelles). Le contenu des clauses bilatérales est négocié par les parties, alors BGE 149 II 320 S. 328 que les clauses unilatérales résultent directement ou impérativement de la loi (cf. ATF 130 II 18 consid. 3.1; ATF 109 II 76 consid. 2 p. 76; cf. aussi arrêts 2C_81/2020 du 13 juillet 2020 consid. 3.1; 2C_825/2013 du 24 mars 2014 consid. 2.1; 2C_815/2012 du 24 juin 2013 consid. 2.1). La clause qui définit l'étendue des droits concédés, par exemple les débits utilisables, est une clause décisionnelle (cf. ATF 130 II 18 consid. 3.1). Une telle clause ne repose pas sur les manifestations de volonté réciproques et concordantes des parties, mais sur l'exercice d'une compétence prédéterminée par une norme, en l'occurrence par l' art. 3 al. 1 LFH . Le fait que la décision de concession suppose la coopération du concessionnaire ("mitwirkungsbedürftige Verfügung"; cf. TSCHANNEN/MÜLLER/KERN, Allgemeines Verwaltungsrecht, 5 e éd. 2022, n. 1262), ne change rien au caractère unilatéral de l'octroi d'une concession (cf. aussi, dans le même sens, FOURNIER, op. cit., p. 150, qui parle de l'acte de concession comme d'un acte unilatéral approuvé par son bénéficiaire; cf. encore, dans le contexte plus général du rôle de la volonté de l'administré dans le processus de décision, MOOR/POLTIER, Droit administratif, vol. II, 3 e éd. 2011, p. 205, qui relèvent que l'accord de l'administré est une condition nécessaire à l'existence d'une décision, mais qu'il ne représente pas une manifestation de volonté participant à sa création).</w:t>
      </w:r>
    </w:p>
    <w:p>
      <w:r>
        <w:rPr>
          <w:b/>
        </w:rPr>
        <w:t>E. 5.4</w:t>
      </w:r>
    </w:p>
    <w:p>
      <w:r>
        <w:t>Selon la jurisprudence, les clauses bilatérales d'une concession s'interprètent selon les règles qui président à l'interprétation des contrats ( art. 18 CO ; recherche de la volonté réelle et commune des parties puis, si cette volonté ne peut être établie, de la volonté objective telle qu'elle découle du principe de la confiance; arrêts 2C_81/2020 du 13 juillet 2020 consid. 3.1; 2C_258/2011 du 30 août 2012 consid. 4.1; sur les règles d'interprétation des contrats, ATF 144 V 84 consid. 6.2.1; ATF 144 III 93 consid. 5.2.3). Les clauses unilatérales d'une concession doivent en revanche être interprétées selon les règles applicables aux décisions (cf. FOURNIER, op. cit., p. 150). Il s'agit d'en dégager le sens véritable, conformément à leur signification juridique concrète, en s'écartant au besoin du sens littéral (cf. ATF 147 V 369 consid. 4.2.1; ATF 120 V 496 consid. 1a; arrêt 8C_818/2021 du 12 mai 2022 consid. 4.2). Le principe de la confiance limite toutefois cette interprétation: une décision doit être comprise dans le sens que son destinataire pouvait et devait lui attribuer selon les règles de la bonne foi, compte tenu de l'ensemble des circonstances qu'il connaissait ou qu'il aurait dû connaître ( ATF 115 II 415 consid. 3a; arrêts 8C_818/2021 du 12 mai 2022 consid. 4.2; 9C_571/2019 du BGE 149 II 320 S. 329 23 juillet 2020 consid. 4.4.2; 2A.453/2002 du 6 décembre 2002 consid. 3.1; cf. aussi ATF 120 V 496 consid. 1a).</w:t>
      </w:r>
    </w:p>
    <w:p>
      <w:r>
        <w:rPr>
          <w:b/>
        </w:rPr>
        <w:t>E. 5.5</w:t>
      </w:r>
    </w:p>
    <w:p>
      <w:r>
        <w:t>L' art. 54 LFH , respectivement l'ancien art. 54 LFH (supra consid. 3), décrit les dispositions qu'une concession doit obligatoirement contenir, dont l'étendue du droit d'utilisation concédé fait partie (cf. art. 54 let. b LFH , resp. ancien art. 54 let. b LFH ). Il n'impose toutefois pas de règle quant à la manière dont l'étendue du droit d'utilisation doit être définie dans la concession (cf. ATF 107 Ib 140 consid. 3a, dans lequel le Tribunal fédéral a relevé que le fait que le volume d'eau concédé soit décrit de manière positive ou négative importait peu). Par ailleurs, lorsque les eaux captées pour alimenter de petites usines exploitées par un concessionnaire sont incluses dans un projet plus vaste, la loi fédérale sur les forces hydrauliques n'interdit pas à l'autorité concédante de définir l'étendue des droits concédés à un nouveau concessionnaire en retranchant de son droit d'utilisation une certaine quantité d'eau définie, cas échéant de manière forfaitaire, en vu de préserver l'exercice de la concession antérieure. Dans une telle situation, les eaux ainsi exclues de la seconde concession ne font donc pas partie des droits acquis du second concessionnaire (supra consid. 5.2). Comme déjà indiqué (supra consid. 5.3), les clauses d'une concession qui définissent l'étendue du droit d'utilisation concédé, conformément à l'ancien et au nouvel art. 54 LFH , sont des clauses unilatérales, qui doivent être interprétées selon les règles applicables pour déterminer le sens des décisions.</w:t>
      </w:r>
    </w:p>
    <w:p>
      <w:r>
        <w:rPr>
          <w:b/>
        </w:rPr>
        <w:t>E. 6</w:t>
      </w:r>
    </w:p>
    <w:p>
      <w:r>
        <w:t>En l'occurrence, le Tribunal administratif fédéral a interprété la concession de 1966 et il est parvenu à la conclusion que la recourante ne s'était pas vu concéder le droit d'utiliser les débits et volumes décrits à l'art. 23 de ladite concession, qui étaient réservés aux CFF. En d'autres termes, la concession de 1966 ne comprenait pas le droit d'utiliser les eaux réservées aux CFF.</w:t>
      </w:r>
    </w:p>
    <w:p>
      <w:r>
        <w:rPr>
          <w:b/>
        </w:rPr>
        <w:t>E. 6.1</w:t>
      </w:r>
    </w:p>
    <w:p>
      <w:r>
        <w:t>La recourante fait valoir que le Tribunal administratif a procédé à une interprétation erronée de la concession de 1966. De son point de vue, il ressort de la concession de 1966 qu'elle s'était vu accorder le droit d'utiliser l'ensemble des forces hydrauliques décrites à l'art. 22 de la concession de 1966 et que les débits et volumes réservés à l'art. 23 ne représentaient que des débits et volumes forfaitaires qu'elle était contractuellement tenue de restituer aux CFF, en vertu d'un contrat de restitution qui avait précisément pour but de dédommager les CFF pour la perte de leurs droits d'eaux du fait de la concession BGE 149 II 320 S. 330 de 1966. Cette obligation de restitution était partant caduque depuis la fin de la concession des CFF le 20 juillet 2017, de sorte que, depuis cette date, elle était libérée de toute obligation de restitution et pouvait utiliser sans restriction l'entier des forces hydrauliques qui lui avaient été concédées.</w:t>
      </w:r>
    </w:p>
    <w:p>
      <w:r>
        <w:rPr>
          <w:b/>
        </w:rPr>
        <w:t>E. 6.2</w:t>
      </w:r>
    </w:p>
    <w:p>
      <w:r>
        <w:t>L'art. 22 de la concession de 1966 décrit le "droit d'utilisation" de la recourante et l'art. 23 de la concession de 1966 fixe les "limites" apportées à ce droit d'utilisation. L'étendue de la concession de la recourante doit être déterminée par l'interprétation de ces deux dispositions. Comme il s'agit d'interpréter des clauses unilatérales, leur sens doit être dégagé en vertu des règles d'interprétation des décisions (supra consid. 5.4 et 5.5).</w:t>
      </w:r>
    </w:p>
    <w:p>
      <w:r>
        <w:rPr>
          <w:b/>
        </w:rPr>
        <w:t>E. 6.2.1</w:t>
      </w:r>
    </w:p>
    <w:p>
      <w:r>
        <w:t>L'art. 22 al. 1 de la concession de 1966 indique que la recourante acquiert, par le fait de la concession, le droit d'utiliser toutes les forces hydrauliques qui font l'objet de la Convention du 23 août 1963 avec la France au sujet de l'aménagement d'Emosson. L'alinéa 2 de la disposition expose en quoi consiste le droit d'utilisation ainsi concédé. Il comprend 1) le droit de capter les eaux des rivières mentionnées aux lettres a et b, 2) le droit d'amener les eaux ainsi captées, par pompage ou par gravité, dans le bassin d'accumulation d'Emosson (lettres b et c), 3) le droit d'accumuler ces eaux dans ce bassin d'accumulation (lettre d) et 4) le droit de les utiliser sur les chutes du Châtelard, des Esserts et de la Bâtiaz, à l'exclusion toutefois des débits indiqués aux art. 23, 33 et 34 de la concession de 1966 (lettre e). Le texte de l' art. 22 al. 2 let . e de la concession de 1966 prévoit ainsi que le droit d'utiliser les eaux mentionnées aux lettres a et b est restreint, puisque la recourante n'a pas le droit d'utiliser les débits indiqués aux art. 23, 33 et 34 de la concession de 1966. Ces débits sont expressément exclus ("à l'exclusion toutefois"), ce qui signifie littéralement que la recourante ne s'est pas vu concéder le droit de les utiliser sur les chutes du Châtelard, des Esserts et de la Bâtiaz pour produire de l'électricité. Il s'ensuit que l' art. 22 al. 2 let . e de la concession de 1966 définit l'étendue des eaux que la recourante peut utiliser pour produire de l'électricité, en partant de l'entier des forces hydrauliques des cours d'eaux mentionnés aux lettres a et b, duquel sont toutefois déduits les débits indiqués plus précisément aux art. 23, 33 et 34 de la concession de 1966. L'art. 23 de la concession de 1966 confirme cette lecture. L'art. 23 al. 1 décrit le débit annuel et le volume d'accumulation qui sont BGE 149 II 320 S. 331 exclus du droit d'utilisation de la recourante. Les alinéas 2 à 4 de la disposition précisent que ce débit annuel et ce volume d'accumulation seront réservés aux CFF, conformément à l'accord de principe de 1961 conclu entre la recourante et les CFF ou à tout autre accord qui lui sera substitué, puis détaillent les obligations qui incombent à la recourante à cet égard. Ces obligations consistent, en substance, à tolérer le refoulement des eaux réservées aux CFF, pour que ceux-ci puissent les turbiner dans leurs usines, et à s'abstenir d'entraver les CFF dans l'exploitation de ces usines. Il ressort ainsi de la lettre de l'art. 23 de la concession de 1966 que le Conseil fédéral a voulu non seulement exclure un débit annuel et un volume d'accumulation de la concession de la recourante (al. 1), mais aussi lui imposer des obligations destinées à garantir la possibilité pour les CFF de continuer à exploiter leurs usines (al. 2 à 4). Comme le relève le Département fédéral dans sa réponse au recours, les art. 22 et 23 de la concession de 1966 constituent ensemble le chapitre VI de la concession de 1966, intitulé "Etendue de la concession" ( art. 105 al. 2 LTF ). Cette systématique confirme que l'art. 23 de la concession de 1966 est intrinsèquement lié à l'art. 22, en ce sens qu'il contribue à circonscrire les eaux que la recourante s'est vu concéder et qu'elle peut utiliser en tant que concessionnaire pour produire de l'énergie. Selon les termes clairs de l' art. 22 al. 2 let . e de la concession de 1966, la recourante est en droit d'utiliser l'entier des forces hydrauliques pour produire de l'électricité, à l'exception toutefois des débits qui sont exclus de ce droit d'utilisation, dont ceux qui sont décrits à l'art. 23 font partie.</w:t>
      </w:r>
    </w:p>
    <w:p>
      <w:r>
        <w:rPr>
          <w:b/>
        </w:rPr>
        <w:t>E. 6.3</w:t>
      </w:r>
    </w:p>
    <w:p>
      <w:r>
        <w:t>La recourante soutient au contraire qu'une interprétation objective de la concession de 1966 ne peut que conduire au constat selon lequel elle s'est vu concéder toutes les forces hydrauliques mentionnées à l'art. 22 et que l'art. 23, qui renvoie à l'accord qu'elle a conclu avec les CFF en 1961 et à tout autre accord qui lui serait substitué, se limite à rappeler l'existence d'une obligation contractuelle de restitution à l'égard des CFF, qui aurait été réglée entre les parties à ce contrat et sans intervention de la Confédération. De son point de vue, le fait que l'art. 23 de la concession de 1966 se réfère à un débit annuel et à un volume d'accumulation définis de manière forfaitaire serait la preuve qu'elle est bien concessionnaire de toutes forces hydrauliques réelles décrites à l'art. 22 de la concession, que les CFF ont perdu leurs droits d'eau depuis la concession de 1966 et qu'elle n'est tenue qu'à une obligation contractuelle et forfaitaire de BGE 149 II 320 S. 332 restitution, qui n'existe toutefois plus depuis la fin de la concession des CFF le 20 juillet 2017. Après cette date, cette obligation contractuelle de restitution serait par conséquent caduque, de sorte qu'elle aurait recouvré le droit d'utiliser sans restriction l'entier des forces hydrauliques qui lui avaient été concédées.</w:t>
      </w:r>
    </w:p>
    <w:p>
      <w:r>
        <w:rPr>
          <w:b/>
        </w:rPr>
        <w:t>E. 6.4</w:t>
      </w:r>
    </w:p>
    <w:p>
      <w:r>
        <w:t>Ce raisonnement ne convainc pas. D'abord, la recourante n'explique pas comment son interprétation peut être compatible avec la lettre et la systématique de la concession de 1966 qui lui a été octroyée, dont il ressort que le droit d'utiliser les forces hydrauliques pour produire de l'électricité est défini aux art. 22 et 23 de cette concession en ce sens que la recourante peut utiliser toutes les forces hydrauliques décrites à l'art. 22 (définition positive), à l'exclusion du débit annuel et du volume d'accumulation décrits à l'art. 23 al. 1 (définition négative; cf. supra consid. 5.5). Ensuite, la recourante retient à tort que le fait que le débit annuel et que le volume d'accumulation exclus de son droit d'utilisation soient décrits de manière forfaitaire à l'art. 23 al. 1 serait la preuve que la limitation de son droit d'utilisation est liée à son obligation contractuelle de restitution aux CFF. En effet, la loi fédérale sur les forces hydrauliques ne s'oppose pas à ce que l'autorité concédante définisse l'étendue d'une concession en excluant certains débits ou volumes d'accumulation "forfaitaires", en particulier lorsque, comme dans le cas d'espèce, l'autorité concédante entend permettre à un concessionnaire antérieur de pouvoir continuer à exploiter ses usines en vertu de la concession qui lui a été octroyée. Dans le cas d'espèce, comme le nouvel aménagement d'Emosson a submergé le barrage des CFF, le fait de circonscrire l'étendue de la concession de la recourante en excluant un débit annuel et un volume d'accumulation de manière "forfaitaire" pour les réserver aux CFF apparaît au demeurant comme la seule solution pour que la recourante puisse savoir de manière claire quelle est la quantité d'eau qu'elle peut utiliser pour produire de l'énergie. C'est par ailleurs en vain que la recourante fait valoir que la concession de 1966 se limiterait à rappeler son obligation contractuelle de restitution aux CFF. Dès lors que le Conseil fédéral a, dans la concession de 1966, restreint le droit d'utilisation de la recourante en soustrayant de son droit d'utilisation le débit et le volume décrits à l'art. 23 al. 1 de la concession de 1966, on ne se trouve pas dans une situation de chevauchement de concessions successives, soit dans une BGE 149 II 320 S. 333 situation où le premier concessionnaire se voit privé de la possibilité d'utiliser les forces hydrauliques qui lui avaient été concédées au profit du second concessionnaire. En restreignant d'emblée le droit d'utilisation de la recourante par exclusion de débits et de volumes qu'il a réservés en même temps aux CFF, le Conseil fédéral a évité un tel chevauchement et imposé à la recourante des obligations destinées à garantir que les CFF pourraient continuer à turbiner les eaux concédées qui leur sont réservées sans entrave (cf. les cas de figure décrits supra consid 5.2). En d'autres termes, même si l'accord que celle-ci et les CFF ont conclu en 1961 a pu représenter un contrat de restitution lorsqu'il a été conclu, il n'en reste pas moins que le Conseil fédéral a, en 1966, circonscrit l'étendue du droit d'utilisation de la recourante de manière à distinguer les eaux que la recourante et les CFF pourraient respectivement utiliser en vertu de leur concession respective et ces droits ne se recoupent pas. Cette interprétation est confirmée par le fait que, le 15 novembre 1972, le Conseil fédéral a modifié la concession de 1917 par un avenant qui redéfinit l'étendue du droit d'utilisation concédé à partir du moment où le bassin de Barberine cesserait d'être utilisable en raison de l'aménagement hydroélectrique d'Emosson (supra let. A.g).</w:t>
      </w:r>
    </w:p>
    <w:p>
      <w:r>
        <w:rPr>
          <w:b/>
        </w:rPr>
        <w:t>E. 6.5</w:t>
      </w:r>
    </w:p>
    <w:p>
      <w:r>
        <w:t>La recourante objecte aussi que la Confédération n'avait pas la compétence d'octroyer des droits d'eau sur des ressources hydrauliques en France, ce qui confirmerait que "la concession sur les forfaits accordée aux CFF ne se confond pas avec les débits réels concédés à A. SA" . L'art. 22 al. 1 de la concession de 1966 renvoie à la Convention du 23 août 1963 entre la Confédération suisse et la République française au sujet de l'aménagement hydroélectrique d'Emosson (RS 0.721. 809.349.1; supra let. A.c) en ce qui concerne l'étendue des droits concédés. Il ressort de l'art. 1 par. 2 de cette convention que celle-ci ne s'applique pas aux eaux qui se déversaient alors dans le bassin existant de la Barberine, soit naturellement, soit artificiellement. Comme l'a relevé à juste titre le Tribunal administratif fédéral, la Suisse et la France ont délimité dans cette disposition le champ d'application de la convention de 1963 dans un sens négatif et, en tant que les droits des CFF entraient en considération, elles en ont précisé l'étendue dans un échange de lettres du 23 août 1963 (cf. Message du Conseil fédéral à l'Assemblée fédérale du 16 septembre 1963 concernant l'approbation de deux conventions entre la Suisse et la France au sujet BGE 149 II 320 S. 334 de l'aménagement hydroélectrique d'Emosson et d'une rectification de la frontière franco-suisse (FF 1963 II 691, 699). Cet échange de lettres du 23 août 1963 (FF 1963 II 691, 718 s.) vise à préciser "le sens et la portée de l'art. 1 par. 2 de la convention". Il indique sous chiffre 1 que la réglementation des droits d'utilisation des CFF restera en tout temps exclusivement affaire de la Suisse. Sous chiffre 2, il réserve aux CFF et exclut ainsi du champ d'application de la convention de 1963: a. un débit annuel représentant les apports annuels moyens du bassin d'accumulation actuel de la Barberine en provenance de la Barberine, ainsi que des régions du Nant de Drance, du Triège et du Bel'Oiseau, sans déduction des déversements actuels de cette accumulation, ainsi que les débits annuels moyens soustraits par l'aménagement d'Emosson aux prises d'eau des intimés existant actuellement sur le Trient, l'Eau Noire et le Pêcheux, réduits en proportion de l'augmentation de chute disponible; b. un volume d'accumulation représentant le volume de la retenue de Barberine dans son état actuel, y compris le volume mort, ainsi qu'un volume supplémentaire de 17 millions de m 3 . Ainsi, et contrairement à ce que soutient la recourante, la Confédération a bien la compétence d'octroyer des droits d'eau sur des ressources hydrauliques en France en tant qu'elles concerneraient les CFF, ces eaux étant expressément exclues de la convention de 1963. A cela s'ajoute que l'échange de lettres du 23 août 1963 atteste aussi que le Conseil fédéral avait l'intention de préserver les droits des CFF, car il précise sous chiffre 3 que "la concession suisse prévoira les dispositions nécessaires au rétablissement des ouvrages de prise et d'amenée d'eau de l'usine de Barberine et à la sécurité de l'exploitation des usines des CFF". Si l'art. 23 de la concession de 1966 se limitait à prévoir une obligation contractuelle de la recourante à l'égard des CFF, on ne voit pas pourquoi le Conseil fédéral aurait alors fait en sorte que des débits soient exclus du champ d'application de la convention de 1963, de préciser que la réglementation des droits d'utilisation des CFF resterait en tout temps exclusivement affaire de la Suisse et que la concession suisse contiendrait les dispositions nécessaires à la sécurité de l'exploitation des usines des CFF. Ces démarches ne peuvent s'expliquer autrement que par la volonté du Conseil fédéral de s'assurer que les CFF pourraient continuer à utiliser leur exploitation nonobstant l'octroi de la concession à la recourante, en réservant pour elle des débits et volumes qui seraient de ce fait exclus de la concession de la recourante. BGE 149 II 320 S. 335</w:t>
      </w:r>
    </w:p>
    <w:p>
      <w:r>
        <w:rPr>
          <w:b/>
        </w:rPr>
        <w:t>E. 6.6</w:t>
      </w:r>
    </w:p>
    <w:p>
      <w:r>
        <w:t>La recourante allègue encore que les CFF auraient fait l'objet d'une expropriation de leurs droits d'eau. L'existence d'une expropriation formelle ne ressort toutefois nullement de l'arrêt attaqué ( art. 105 al. 1 LTF ; consid. 2.2 non publié). Il n'y a donc pas à s'attarder plus avant sur ce point.</w:t>
      </w:r>
    </w:p>
    <w:p>
      <w:r>
        <w:rPr>
          <w:b/>
        </w:rPr>
        <w:t>E. 6.7</w:t>
      </w:r>
    </w:p>
    <w:p>
      <w:r>
        <w:t>Enfin, le principe de la confiance invoqué par la recourante ne saurait aller à l'encontre de l'interprétation claire de la concession. Du reste, la recourante n'apporte aucun élément propre à faire apparaître qu'elle pouvait et devait comprendre de bonne foi la concession de 1966 en ce sens que son art. 23 se limitait à mentionner une obligation contractuelle de restitution à l'égard des CFF, mais qu'il ne restreignait pas l'étendue de sa propre concession. Il n'y a donc aucun motif de s'écarter d'une lecture objective de la concession de 1966.</w:t>
      </w:r>
    </w:p>
    <w:p>
      <w:r>
        <w:rPr>
          <w:b/>
        </w:rPr>
        <w:t>E. 7</w:t>
      </w:r>
    </w:p>
    <w:p>
      <w:r>
        <w:t>Ce qui précède conduit au rejet du recours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