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44</w:t>
      </w:r>
    </w:p>
    <w:p>
      <w:r>
        <w:t>Bundesgericht (BGE), 2022-09-08, DE</w:t>
      </w:r>
    </w:p>
    <w:p>
      <w:r>
        <w:rPr>
          <w:b/>
        </w:rPr>
        <w:t xml:space="preserve">Quelle: </w:t>
      </w:r>
      <w:r>
        <w:t>https://mcp.opencaselaw.ch/entscheid/bge_BGE_149_III_44</w:t>
      </w:r>
    </w:p>
    <w:p>
      <w:r>
        <w:t>FR: ATF 149 III 44</w:t>
      </w:r>
    </w:p>
    <w:p>
      <w:r>
        <w:t>IT: DTF 149 III 44</w:t>
      </w:r>
    </w:p>
    <w:p>
      <w:pPr>
        <w:pStyle w:val="Heading2"/>
      </w:pPr>
      <w:r>
        <w:t>Regeste</w:t>
      </w:r>
    </w:p>
    <w:p>
      <w:r>
        <w:t>Regeste Art. 75 BGG; Eintretensvoraussetzungen, Erschöpfung des kantonalen Instanzenzugs. Keine Anfechtung eines obergerichtlichen Rückweisungsentscheids durch direkte Beschwerde an das Bundesgericht gegen den nachfolgenden erstinstanzlichen Endentscheid, wenn vor Bundesgericht auch Aspekte des nachfolgenden erstinstanzlichen Endentscheids beanstandet werden, die das Bezirksgericht entweder in eigener Verantwortung zum ersten Mal beurteilt hat oder für welche es gestützt auf den Rückweisungsentscheid über einen Entscheidungsspielraum verfügte (E. 1.1-1.3).</w:t>
      </w:r>
    </w:p>
    <w:p>
      <w:r>
        <w:t>Regeste Art. 75 LTF; conditions d'entrée en matière, épuisement des voies de recours cantonales. Une décision de renvoi du tribunal cantonal supérieur ne peut pas être contestée par un recours au Tribunal fédéral directement dirigé contre la décision finale subséquente de première instance, si devant le Tribunal fédéral sont également contestés des aspects de cette décision finale subséquente que le tribunal de district a jugés pour la première fois sous sa propre responsabilité ou pour lesquels il disposait d'une marge de décision que lui laissait la décision de renvoi (consid. 1.1-1.3).</w:t>
      </w:r>
    </w:p>
    <w:p>
      <w:r>
        <w:t>Regesto Art. 75 LTF; condizioni di ricevibilità, esaurimento delle istanze cantonali. Una decisione di rinvio del tribunale cantonale superiore non è impugnabile con un ricorso al Tribunale federale direttamente volto contro la successiva decisione finale di prima istanza, se dinanzi al Tribunale federale sono contestati anche aspetti di tale successiva decisione finale che il tribunale distrettuale ha giudicato per la prima volta sotto la propria responsabilità o per i quali disponeva di un margine decisionale lasciatogli dalla decisione di rinvio (consid. 1.1-1.3).</w:t>
      </w:r>
    </w:p>
    <w:p>
      <w:pPr>
        <w:pStyle w:val="Heading2"/>
      </w:pPr>
      <w:r>
        <w:t>Erwägungen</w:t>
      </w:r>
    </w:p>
    <w:p>
      <w:r>
        <w:rPr>
          <w:b/>
        </w:rPr>
        <w:t>E. 1.1</w:t>
      </w:r>
    </w:p>
    <w:p>
      <w:r>
        <w:t>Abgesehen von hier nicht zutreffenden Ausnahmen ist die Beschwerde in Zivilsachen zulässig gegen Entscheide letzter kantonaler Instanzen ( Art. 75 Abs. 1 BGG ), die als oberes Gericht auf Rechtsmittel hin entschieden haben ( Art. 75 Abs. 2 BGG ). Selbständig eröffnete oberinstanzliche Entscheide in Zivilsachen, mit welchen die Sache zu neuem Entscheid an die erste Instanz zurückgewiesen werden, gelten generell als Vor- bzw. Zwischenentscheide ( BGE 145 III 42 E. 2.1), die - sofern sie weder die Zuständigkeit noch Ausstandsbegehren betreffen ( Art. 92 BGG ) - nur unter den in Art. 93 Abs. 1 BGG genannten Voraussetzungen angefochten werden können, wozu die Partei selbst bei gegebenen Voraussetzungen aber nicht verpflichtet ist ( BGE 143 III 290 E. 1.4). Ist die Beschwerde nicht zulässig oder wurde von ihr kein Gebrauch gemacht, ist der Vor- bzw. Zwischenentscheid durch Beschwerde gegen den Endentscheid anfechtbar, soweit er sich auf dessen Inhalt auswirkt ( Art. 93 Abs. 3 BGG ). Gegen den auf Rückweisung hin ergangenen Entscheid der ersten Instanz ist grundsätzlich wiederum der Instanzenzug zu durchlaufen. Ausnahmsweise kann ein oberinstanzlicher Rückweisungsentscheid im Anschluss an den erstinstanzlichen Endentscheid direkt mit gegen den letzteren gerichteter Beschwerde beim Bundesgericht angefochten werden. Dies aber nur, wenn ausschliesslich die Erwägungen im Rückweisungsentscheid der oberen kantonalen Instanz kritisiert werden. Ausserdem dürfen nur Punkte gerügt werden, über die das obere Gericht abschliessend - und somit für das erstinstanzliche Gericht verbindlich - entschieden hat ( BGE 145 III 42 E. 2.2.1; BGE 143 III 290 E. 1.5). Wenn in einem Punkt, BGE 149 III 44 S. 47 der von der beschwerten Partei vor dem Bundesgericht im Anschluss an den erstinstanzlichen Entscheid gerügt wird, die obere kantonale Instanz dem erstinstanzlichen Gericht Entscheidungsspielraum überlassen hat, kann das Bundesgericht auf diese Rüge mangels Erschöpfung des Instanzenzugs (vgl. BGE 143 III 290 E. 1.1 mit Hinweisen) nicht eintreten ( BGE 145 III 42 E. 2.2.2). Als oberste rechtsprechende Behörde des Bundes befasst sich das Bundesgericht grundsätzlich nur einmal mit einer Angelegenheit ( BGE 143 III 290 E. 1.3; BGE 142 II 363 E. 1.3; BGE 141 III 80 E. 1.2). Daher ist es unzulässig, den Rechtsweg eines auf Rückweisung hin ergangenen erstinstanzlichen Endentscheids nach Massgabe der Rügen gleichsam auf die obere kantonale Rechtsmittelinstanz und auf das Bundesgericht aufzuteilen. Ausserdem ist es nicht Aufgabe des Bundesgerichts, den oberinstanzlichen Rückweisungsentscheid auszulegen und dessen Erwägungen danach abzugrenzen, ob sie für das erstinstanzliche Gericht verbindliche Anordnungen enthalten oder ob sie diesem einen Entscheidungsspielraum überlassen. Vielmehr obliegt es der beschwerdeführenden Partei, dies klar und soweit möglich belegt darzutun ( Art. 42 Abs. 2 BGG ). Will also die beschwerdeführende Partei nebst den - für das erstinstanzliche Gericht verbindlichen - Erwägungen des Rückweisungsentscheids auch Aspekte des nach Rückweisung ergangenen erstinstanzlichen Entscheids beanstanden, welche die erste Instanz entweder in eigener Verantwortung zum ersten Mal beurteilt hat oder für welche sie gestützt auf den Rückweisungsentscheid über einen Entscheidungsspielraum verfügte, muss sie den Instanzenzug durchlaufen.</w:t>
      </w:r>
    </w:p>
    <w:p>
      <w:r>
        <w:rPr>
          <w:b/>
        </w:rPr>
        <w:t>E. 1.2</w:t>
      </w:r>
    </w:p>
    <w:p>
      <w:r>
        <w:t>Die vorliegende Beschwerde richtet sich formell sowohl gegen den erstinstanzlichen Endentscheid vom 10. Januar 2022 als auch gegen den obergerichtlichen Rückweisungsentscheid vom 29. April 2021 (vgl. Rechtsbegehren Sachverhalt Bst. C). Materiell macht die Beschwerdeführerin unter anderem geltend, die Abänderung des Eheschutzentscheids vom 7. April 2015 dürfe nicht auf den Zeitpunkt der Gesuchstellung zurückwirken, es sei absurd, ihr rückwirkend ein hypothetisches Einkommen anzurechnen, die für den Beschwerdegegner eingesetzte Steuerlast sei klar übersetzt und der Unterhalt sei auf ca. Fr. 1'000.- pro Kind gekürzt worden, weil die Beteiligung am Überschuss des Beschwerdegegners gedeckelt worden und obwohl dieser bereit gewesen sei, jeden Monat Fr. 1'487.- pro Kind zu bezahlen. BGE 149 III 44 S. 48</w:t>
      </w:r>
    </w:p>
    <w:p>
      <w:r>
        <w:rPr>
          <w:b/>
        </w:rPr>
        <w:t>E. 1.3</w:t>
      </w:r>
    </w:p>
    <w:p>
      <w:r>
        <w:t>Entgegen der Auffassung der Beschwerdeführerin hat das Obergericht dem Bezirksgericht nicht verbindlich vorgegeben, für die Abänderung auf den Zeitpunkt der Gesuchseinreichung abzustellen; es hat diesem bloss vorgeworfen, "ohne jegliche Begründung" nicht auf den Zeitpunkt der Gesuchseinreichung abgestellt zu haben, es aber offengelassen, ob im vorliegenden Fall ein anderer Zeitpunkt für die Anpassung der Unterhaltsleistungen infrage kommt. Auf die Prüfung eines hypothetischen Einkommens hat das Obergericht ausdrücklich verzichtet und mit Bezug auf die Steuern hat es lediglich festgehalten, diese seien nachvollziehbar neu festzusetzen. Wenn nun das Bezirksgericht nach Ansicht der Beschwerdeführerin bei der Festsetzung ihres hypothetischen Einkommens und der beim Beschwerdegegner zu berücksichtigenden Steuern Fehler gemacht haben soll, richtet sich die Kritik allein an das Bezirksgericht. Schliesslich wies das Obergericht das Bezirksgericht - lediglich, aber immerhin - an, nach welchen Grundsätzen es im Rahmen der Neufestsetzung der Unterhaltsbeiträge den Überschuss zu verteilen habe; von einer verbindlichen Vorgabe seitens des Obergerichts kann keine Rede sein. Diese vier Beispiele zeigen auf, dass die Beschwerdeführerin in ihrer Beschwerde an das Bundesgericht auch Aspekte des nach Rückweisung ergangenen erstinstanzlichen Entscheids beanstandet, welche das Bezirksgericht entweder in eigener Verantwortung zum ersten Mal beurteilt hat (hypothetisches Einkommen, Steuerlast) oder für welche es gestützt auf den Rückweisungsentscheid über einen Entscheidungsspielraum verfügte (Zeitpunkt der Abänderung der Unterhaltsbeiträge; Höhe des Überschussanteils). Daher kann auf die Beschwerde insgesamt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