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7</w:t>
      </w:r>
    </w:p>
    <w:p>
      <w:r>
        <w:t>Bundesgericht (BGE), 2021-10-13, DE</w:t>
      </w:r>
    </w:p>
    <w:p>
      <w:r>
        <w:rPr>
          <w:b/>
        </w:rPr>
        <w:t xml:space="preserve">Quelle: </w:t>
      </w:r>
      <w:r>
        <w:t>https://mcp.opencaselaw.ch/entscheid/bge_BGE_148_V_7</w:t>
      </w:r>
    </w:p>
    <w:p>
      <w:r>
        <w:t>FR: ATF 148 V 7</w:t>
      </w:r>
    </w:p>
    <w:p>
      <w:r>
        <w:t>IT: DTF 148 V 7</w:t>
      </w:r>
    </w:p>
    <w:p>
      <w:pPr>
        <w:pStyle w:val="Heading2"/>
      </w:pPr>
      <w:r>
        <w:t>Regeste</w:t>
      </w:r>
    </w:p>
    <w:p>
      <w:r>
        <w:t>Regeste Art. 13 Abs. 1, Art. 14 Abs. 1, Art. 26 bis und Art. 27 Abs. 1 IVG; Art. 24 Abs. 2 IVV; Tarif für die zahnärztliche Behandlung eines Geburtsgebrechens; Fallpauschale. Da sich aus der freien Wahl des Leistungserbringers gemäss Art. 26 bis Abs. 1 IVG kein Anspruch auf freie Arztwahl im Spital im Falle einer stationären Behandlung ableiten lässt, steht es in der Gestaltungsfreiheit der Invalidenversicherung, mittels Abschlusses eines SwissDRG-Tarifvertrags mit einem Belegarztspital auf den Miteinbezug von Beleg(zahn)ärzten als Leistungserbringer zu verzichten und für stationäre Behandlungen ausschliesslich mit der Heilanstalt zusammenzuarbeiten. Dieser faktische Ausschluss von Beleg(zahn)ärzten für stationäre Leistungen in einem Spital, mit dem die Invalidenversicherung gestützt auf Art. 27 Abs. 1 IVG das SwissDRG-System vereinbart hat (E. 5.1.2), ist zulässig (E. 5.1.3). Im konkreten Fall ist die fragliche stationäre Behandlung gemäss der anwendbaren SwissDRG-Fallpauschale zu vergüten und nicht nach dem Zahnarzttarif gemäss dem zwischen der Schweizerischen Zahnärzte-Gesellschaft (SSO) und der Medizinaltarif-Kommission UVG (MTK) sowie der Militär- und Invalidenversicherung abgeschlossenen Tarifvertrag (SSO-Tarifvertrag; E. 4 und 5).</w:t>
      </w:r>
    </w:p>
    <w:p>
      <w:r>
        <w:t>Regeste Art. 13 al. 1, art. 14 al. 1, art. 26 bis et art. 27 al. 1 LAI; art. 24 al. 2 RAI; tarif pour le traitement dentaire d'une infirmité congénitale; forfait par cas. On ne peut pas déduire du libre choix de l'assuré entre les fournisseurs de prestations au sens de l'art. 26 bis al. 1 LAI un droit de choisir librement le médecin en cas de traitement stationnaire dans un hôpital. Dans le cadre de sa liberté d'organisation, l'assurance-invalidité peut ainsi renoncer, au moyen d'une convention tarifaire SwissDRG avec un hôpital, à coopérer avec les médecins-dentistes agréés et travailler uniquement avec cet établissement hospitalier pour les traitements stationnaires. Cette exclusion de fait des médecins-dentistes agréés pour les traitements stationnaires dans un hôpital avec lequel l'assurance-invalidité a conclu une convention tarifaire SwissDRG en application de l'art. 27 al. 1 LAI (consid. 5.1.2) est admissible (consid. 5.1.3). Dans le cas concret, le traitement stationnaire en cause doit être pris en charge selon le tarif du forfait par cas du système SwissDRG applicable et non pas selon le tarif dentaire issu de la convention tarifaire conclue entre la Société suisse des médecins-dentistes (SSO) et la Commission des tarifs médicaux LAA (CTM) ainsi que l'assurance militaire et l'assurance-invalidité (convention tarifaire SSO; consid. 4 et 5).</w:t>
      </w:r>
    </w:p>
    <w:p>
      <w:r>
        <w:t>Regesto Art. 13 cpv. 1, art. 14 cpv. 1, art. 26 bis e art. 27 cpv. 1 LAI; art. 24 cpv. 2 OAI; tariffa per il trattamento dentario di un'infermità congenita; forfait per caso. Non si può dedurre dalla libera scelta dell'assicurato tra i fornitori di prestazioni a norma dell'art. 26 bis cpv. 1 LAI un diritto di scegliere liberamente il medico in caso di trattamento stazionario in un ospedale. Rimane nel margine di manovra dell'assicurazione invalidità di rinunciare, attraverso una convenzione tariffale SwissDRG con una clinica privata, a far capo come fornitori di prestazione dei medici dentisti privati ammessi per i trattamenti stazionari e di collaborare per i trattamenti stazionari unicamente con lo stabilimento. Questa esclusione di fatto dei medici dentisti ammessi per i trattamenti stazionari in un ospedale, con cui l'assicurazione invalidità ha convenuto a norma dell'art. 27 cpv. 1 LAI il sistema SwissDRG (consid. 5.1.2), è ammissibile (consid. 5.1.3). Nella fattispecie, il trattamento stazionario in questione deve essere remunerato secondo l'importo forfettario previsto dalla convenzione tariffale SwissDRG e non secondo la convenzione tariffale per prestazioni odontotecniche conclusa tra la Società svizzera odontoiatri (SSO), la Commissione delle tariffe mediche LAINF (CTM), l'assicurazione militare e l'assicurazione invalidità (convenzione tariffale SSO; consid. 4 e 5).</w:t>
      </w:r>
    </w:p>
    <w:p>
      <w:pPr>
        <w:pStyle w:val="Heading2"/>
      </w:pPr>
      <w:r>
        <w:t>Erwägungen</w:t>
      </w:r>
    </w:p>
    <w:p>
      <w:r>
        <w:rPr>
          <w:b/>
        </w:rPr>
        <w:t>E. 2.1</w:t>
      </w:r>
    </w:p>
    <w:p>
      <w:r>
        <w:t>Streitig und zu prüfen ist, ob das Schiedsgericht in Sozialversicherungsstreitigkeiten Bundesrecht verletzte, indem es für die Festsetzung des Honorars für die vom Beschwerdeführer zur Behandlung eines Geburtsgebrechens im stationären Rahmen vom 16. bis 19. Juli 2014 erbrachten Leistungen nicht den zwischen der SSO und der MTK/MV/IV abgeschlossenen Tarifvertrag (nachfolgend: SSO-Tarifvertrag), sondern den zwischen der MTK/MV/IV und der Klinik B. abgeschlossenen Tarifvertrag SwissDRG (Swiss Diagnosis Related Groups) als anwendbar erachtete.</w:t>
      </w:r>
    </w:p>
    <w:p>
      <w:r>
        <w:rPr>
          <w:b/>
        </w:rPr>
        <w:t>E. 2.2</w:t>
      </w:r>
    </w:p>
    <w:p>
      <w:r>
        <w:t>In tatsächlicher Hinsicht steht dabei fest, dass der Beschwerdeführer die hier strittige Behandlung vom 16. bis 19. Juli 2014 (Operation vom 16. Juli 2014) in der Klinik B. vornahm. Dafür stellte er direkt der IV-Stelle Solothurn Rechnung, wobei er zunächst einen Gesamtbetrag von Fr. 17'054.05 verlangte und später davon den ihm von der Klinik ausgerichteten Betrag von Fr. 7'546.10 in Abzug brachte. Aus den Akten ergibt sich zudem, dass die Klinik der IV-Stelle für die stationäre Behandlung vom 16. bis 19. Juli 2014 einen BGE 148 V 7 S. 10 Betrag von Fr. 19'858.20 in Rechnung stellte (SwissDRG Tarifziffer D04Z [Bignathe Osteotomie und komplexe Eingriffe am Kiefer]), welchen die IV-Stelle vergütete.</w:t>
      </w:r>
    </w:p>
    <w:p>
      <w:r>
        <w:rPr>
          <w:b/>
        </w:rPr>
        <w:t>E. 3.1</w:t>
      </w:r>
    </w:p>
    <w:p>
      <w:r>
        <w:t>Gemäss Art. 13 Abs. 1 IVG haben Versicherte bis zum 20. Altersjahr Anspruch auf die zur Behandlung von Geburtsgebrechen notwendigen medizinischen Massnahmen. Als medizinische Massnahmen, die für die Behandlung eines Geburtsgebrechens notwendig sind, gelten nach Art. 2 Abs. 3 GgV sämtliche Vorkehren, die nach bewährter Erkenntnis der medizinischen Wissenschaft angezeigt sind und den therapeutischen Erfolg in einfacher und zweckmässiger Weise anstreben. Die medizinischen Massnahmen umfassen gemäss Art. 14 Abs. 1 IVG die Behandlung, die vom Arzt selbst oder auf seine Anordnung durch medizinische Hilfspersonen in Anstalts- oder Hauspflege vorgenommen wird, mit Ausnahme von logopädischen und psychomotorischen Therapien (lit. a) sowie die Abgabe der vom Arzt verordneten Arzneien (lit. b). Erfolgt die ärztliche Behandlung in einer Kranken- oder Kuranstalt, so hat der Versicherte überdies Anspruch auf Unterkunft und Verpflegung in der allgemeinen Abteilung (Abs. 2).</w:t>
      </w:r>
    </w:p>
    <w:p>
      <w:r>
        <w:rPr>
          <w:b/>
        </w:rPr>
        <w:t>E. 3.2</w:t>
      </w:r>
    </w:p>
    <w:p>
      <w:r>
        <w:t>Im UV/MV/IV-Tarifwesen gilt der Grundsatz, dass die Leistungserbringer mit den Versicherern Tarifverträge abschliessen, wobei weitgehend Tarifautonomie herrscht. Die drei eidgenössischen Sozialversicherer schliessen in der Regel gemeinsam die Verträge mit den Spitälern ab ( www.mtk-ctm.ch unter Über uns/MTK [besucht am 23. September 2021]). Was die Grundsätze der Tarifierung betrifft, so enthält das Gesetz dazu anders als das KVG keine Regelung. Grund und Folge dieses Fehlens von gesetzlichen Tarifierungsgrundsätzen ist, dass für die vertragliche Preisfindung im IVG die Tarifautonomie als Leitmotiv gilt, sodass Raum für eine wettbewerbliche Preisbildung basierend auf dem Prinzip von Angebot und Nachfrage besteht (MICHAEL WALDNER, Die Abgeltung stationärer medizinischer Leistungen von Spitälern in der IV, SZS 2015 S. 235 ff., insb. S. 239).</w:t>
      </w:r>
    </w:p>
    <w:p>
      <w:r>
        <w:rPr>
          <w:b/>
        </w:rPr>
        <w:t>E. 3.3</w:t>
      </w:r>
    </w:p>
    <w:p>
      <w:r>
        <w:t>Im Bereich der Invalidenversicherung steht nach Art. 26 bis IVG der versicherten Person die Wahl frei unter den medizinischen Hilfspersonen, den Anstalten und Werkstätten sowie den Betrieben des allgemeinen Arbeitsmarktes, die Eingliederungsmassnahmen durchführen, und den Abgabestellen für Hilfsmittel, wenn sie den kantonalen Vorschriften und den Anforderungen der BGE 148 V 7 S. 11 Versicherung genügen (Abs. 1). Nach Art. 27 Abs. 1 IVG ist der Bundesrat befugt, mit der Ärzteschaft, den Berufsverbänden der Medizinalpersonen und der medizinischen Hilfspersonen sowie den Anstalten und Werkstätten, die Eingliederungsmassnahmen durchführen, Verträge zu schliessen, um die Zusammenarbeit zu regeln und die Tarife festzulegen, wobei er die Zuständigkeit gemäss Art. 24 Abs. 2 IVV an das BSV delegiert hat. Die von der IV gewährten medizinischen Massnahmen sind Naturalleistungen. Die Gewährung solcher Massnahmen begründet in der Regel ein Auftragsverhältnis zwischen Versicherung und Ausführungsorganen (Arzt und Spital; MEYER/REICHMUTH, Rechtsprechung des Bundesgerichts zum IVG, 3. Aufl. 2014, N. 1 zu Art. 27 IVG ).</w:t>
      </w:r>
    </w:p>
    <w:p>
      <w:r>
        <w:rPr>
          <w:b/>
        </w:rPr>
        <w:t>E. 3.4</w:t>
      </w:r>
    </w:p>
    <w:p>
      <w:r>
        <w:t>Dem gestützt auf Art. 27 Abs. 1 IVG abgeschlossenen Vertrag kommt die Funktion eines Rahmenvertrags zu (WALDNER, a.a.O., S. 238). Aufgrund dieser Eigenschaft kommt mit dem Abschluss eines Tarif- und Zusammenarbeitsvertrags im Sinne von Art. 27 Abs. 1 IVG noch kein Auftragsverhältnis zwischen Leistungserbringer und IV zustande. Vielmehr bedarf es in jedem Einzelfall einer gesonderten Auftragserteilung an das Spital. Dieses Vertragsverhältnis beinhaltet einen unechten Vertrag zugunsten eines Dritten (Versicherter; Art. 112 Abs. 1 OR ) in der Form eines Auftrags im Sinne der Art. 394 ff. OR sowie einen allenfalls damit verbundenen Innominatkontrakt für Unterkunft, Verpflegung und Pflege (vgl. dazu und zum Folgenden: Urteil I 296/06 vom 1. Dezember 2006 E. 3.1; WALDNER, a.a.O., S. 241 f.). Er kommt in der Praxis dadurch zustande, dass der Leistungserbringer mit einer Kopie der dem Versicherten zugestellten Mitteilung der (faktischen) Leistungszusprechung über die Auftragserteilung in Kenntnis gesetzt wird und den Auftrag konkludent annimmt, indem er im Sinne der zugesprochenen Eingliederungsmassnahme tätig wird. Das Vertragsverhältnis zwischen der IV und dem Spital wird in der Folge durch den Inhalt des konkreten Auftrags der IV-Stelle sowie ergänzend durch die Bestimmungen des Rahmenvertrags im Sinne von Art. 27 Abs. 1 IVG bestimmt. Während die konkrete Auftragserteilung insbesondere den Inhalt und Umfang der bestellten Leistungen definiert, regelt der Rahmenvertrag insbesondere die Tarifierung und den Tarifschutz (WALDNER, a.a.O., S. 241 f.).</w:t>
      </w:r>
    </w:p>
    <w:p>
      <w:r>
        <w:rPr>
          <w:b/>
        </w:rPr>
        <w:t>E. 3.5</w:t>
      </w:r>
    </w:p>
    <w:p>
      <w:r>
        <w:t>Zwischen der SSO und den Versicherern gemäss Bundesgesetz über die Unfallversicherung (vertreten durch die MTK), dem (ehemaligen) Bundesamt für Militärversicherung (BAMV) und der BGE 148 V 7 S. 12 Invalidenversicherung wurde im Mai 2000 ein Tarifvertrag abgeschlossen (SSO-Tarifvertrag), welcher jenen vom November 1993 ersetzte (Art. 18.3) und rückwirkend auf den 1. Januar 2000 in Kraft trat (Art. 18.1 SSO-Tarifvertrag). Dieser findet Anwendung für die Behandlung der im Sinne des UVG versicherten Personen, von Versicherten des BAMV und der IV durch Zahnärzte, die der SSO angeschlossen sind oder die den Beitritt zu diesem Vertrag erklärt haben (Art. 1). Dieser Vertrag wurde durch den Tarifvertrag für zahnärztliche Leistungen zwischen der SSO und den Versicherern gemäss UVG (vertreten durch die MTK), der Militär- und der Invalidenversicherung (vertreten durch das BSV) vom 3. Mai 2017 ersetzt, welcher per 1. Januar 2018 in Kraft trat. Gemäss den Übergangsbestimmungen in Ziff. 24 gilt für Leistungen nach UVG, MVG und IVG, die bis zum 31. Dezember 2017 erbracht wurden, der Vertrag vom Mai 2000. Für Leistungen, die ab dem Inkrafttreten des neuen Vertrags erbracht werden, gelten dessen Bestimmungen. Da der Beschwerdeführer seine Leistungen im Juli 2014 erbrachte, ist im vorliegend zu beurteilenden Fall der Tarifvertrag vom Mai 2000 massgebend.</w:t>
      </w:r>
    </w:p>
    <w:p>
      <w:r>
        <w:rPr>
          <w:b/>
        </w:rPr>
        <w:t>E. 3.6</w:t>
      </w:r>
    </w:p>
    <w:p>
      <w:r>
        <w:t>Gemäss Art. 6.1 SSO-Tarifvertrag hat der Zahnarzt der zuständigen Stelle der Versicherer gemäss UVG, IVG und MVG vor Aufnahme der Behandlung einen nach Tarifziffern detaillierten Kostenvoranschlag einzureichen. Dem Kostenvoranschlag soll eine wirtschaftliche und zweckmässige Behandlung zugrunde gelegt werden. Für die auf ihre Kosten vorzunehmende Behandlung leistet der Versicherer so rasch als möglich Gutsprache. Bei Arbeiten, für die keine Gutsprache erteilt worden ist, besteht keine Zahlungspflicht, es sei denn, es habe sich um unaufschiebbare Massnahmen gehandelt (Art. 6.2). Ist die definitive Versorgung erst in einem späteren Zeitpunkt möglich, so ist dies zu begründen. Zu gegebener Zeit muss ein neuer Kostenvoranschlag eingereicht werden (Art. 6.3). Gestützt auf Art. 7.1 gelten für die Behandlung von Versicherten der Invalidenversicherung die einschlägigen gesetzlichen Bestimmungen und die dazu gehörenden Weisungen des BSV. Das BSV wird vor dem Erlass wichtiger Weisungen, die sich auf die Tätigkeit unter diesem Vertrag auswirken, die SSO zur Vernehmlassung einladen. Nach Art. 7.2 übernimmt die IV bei ambulanten Behandlungen sowie Aufenthalt in einer allgemeinen Abteilung eines Spitals die vollen Kosten der verfügten Massnahmen gemäss geltendem Tarif mit befreiender Wirkung für den Versicherten. Die BGE 148 V 7 S. 13 Honorierung der zahnärztlichen Leistungen erfolgt gemäss dem zugehörigen separaten Tarif. Dieser ist integrierender Bestandteil des vorliegenden Vertrags (Art. 8.1). Gestützt auf Art. 18.1 ist der Vertrag unter Einhaltung einer Kündigungsfrist von 12 Monaten je auf Ende eines Quartals, d.h. auf den 31. März, 30. Juni, 30. September oder den 31. Dezember kündbar.</w:t>
      </w:r>
    </w:p>
    <w:p>
      <w:r>
        <w:rPr>
          <w:b/>
        </w:rPr>
        <w:t>E. 3.7</w:t>
      </w:r>
    </w:p>
    <w:p>
      <w:r>
        <w:t>In der Krankenversicherung wurden mit der Einführung der Tarifstruktur von SwissDRG per 1. Januar 2012 im Bereich der Akutsomatik die gesetzlichen Vorgaben (vgl. Art. 49 KVG ) zu den leistungsbezogenen Fallpauschalen umgesetzt. Bei SwissDRG handelt es sich um ein Patientenklassifikationssystem, das Patientinnen und Patienten anhand von medizinischen und weiteren Kriterien (z.B. Haupt- und Nebendiagnosen, Behandlungen, Aufenthaltsdauer usw.) in möglichst homogene Gruppen (sog. Fallgruppen) einteilt. Jeder Fallgruppe wird ein empirisch ermitteltes, relatives Kostengewicht zugeordnet, das den durchschnittlichen Behandlungsaufwand der betreffenden Fallgruppe beschreibt. Die Kostengewichte wurden auf der Grundlage der Fallkostendaten ausgewählter Spitäler ermittelt und werden in der Regel jährlich anhand von aktualisierten Daten neu berechnet. Die Entschädigung eines Spitals für einen stationären Aufenthalt zur Behandlung einer akutsomatischen Krankheit erfolgt durch die Multiplikation des betreffenden Kostengewichts mit der für das Spital anwendbaren Baserate. Wie hoch die Baserate in Franken ist, legt nicht die SwissDRG fest, sondern ist Gegenstand von Vereinbarungen zwischen den Tarifpartnern ( Art. 49 Abs. 1 KVG ; BEATRICE GROSS HAWK, Leistungserbringer und Tarife in verschiedenen Sozialversicherungszweigen, in: Recht der Sozialen Sicherheit, 2014, S. 1227 Rz. 34.60; GEBHARD EUGSTER, Die obligatorische Krankenpflegeversicherung, in: Soziale Sicherheit, SBVR Bd. XIV, 3. Aufl. 2016, S. 712 ff. Rz.1018 ff.; IV-Rundschreiben Nr. 316 des BSV vom 2. Oktober 2012).</w:t>
      </w:r>
    </w:p>
    <w:p>
      <w:r>
        <w:rPr>
          <w:b/>
        </w:rPr>
        <w:t>E. 3.8</w:t>
      </w:r>
    </w:p>
    <w:p>
      <w:r>
        <w:t>Auch die Invalidenversicherung wollte in den akutsomatischen Spitälern - auf tarifvertraglicher Basis - flächendeckend die Vergütung mittels SwissDRG-Fallpauschalen einführen. Die Verhandlungen über einen Rahmenvertrag mit "H+ Die Spitäler der Schweiz" scheiterten aber Ende 2011, so dass es in der Folge eine "heterogene Situation bei den Spitaltarifen" gab. Mit einigen Belegarztspitälern konnte die Invalidenversicherung Zusammenarbeits- und Tarifverträge abschliessen und vereinbaren, dass die stationär erbrachten Leistungen nach dem SwissDRG-System abzugelten seien. Bei anderen Spitälern liefen die alten Spitalverträge provisorisch BGE 148 V 7 S. 14 weiter (vgl. IV-Rundschreiben Nr. 311 des BSV vom 12. März 2012). Somit hat die IV das aufgrund von Art. 49 Abs. 1 KVG entwickelte SwissDRG-System auf vertraglicher Basis mittels Zusammenarbeits- und Tarifverträgen mit Spitälern übernommen (zuhanden der Schweizerischen Zahnärzte-Gesellschaft SSO erstattetes Gutachten von Dr. iur. Gebhard Eugster vom 30. Januar 2014 betreffend Anwendbarkeit des SSO-Zahnarzttarifs in der Invalidenversicherung [IV] auf stationär erbrachte zahnärztliche Behandlungen durch Belegzahnärztinnen und Belegzahnärzte in Belegarztspitälern nach Einführung des SwissDRG-Abrechnungssystems [nachfolgend: Gutachten Eugster], S. 12 und S. 20). In der Klinik B. wurde die Abrechnung nach SwissDRG-Fallpauschalen für den Bereich IV - wie auch für die UV und die MV - per 1. Juli 2013 eingeführt.</w:t>
      </w:r>
    </w:p>
    <w:p>
      <w:r>
        <w:rPr>
          <w:b/>
        </w:rPr>
        <w:t>E. 3.9</w:t>
      </w:r>
    </w:p>
    <w:p>
      <w:r>
        <w:t>Der Entscheid der IV, das SwissDRG-System einzuführen, hat die bisherige Geschäfts- und Rechtsbeziehung zwischen Belegarztspitälern und Belegärzten grundlegend verändert. Die Belegarztspitäler haben sich mit der tarifvertraglich vereinbarten Anwendung des SwissDRG-Systems gegenüber den Versicherern verpflichtet, stationäre Behandlungen von IV-Patienten mittels der Vollkostenpauschalen der SwissDRG zu fakturieren und in Zukunft als Leistungserbringer auch für die stationär erbrachten ärztlichen Leistungen verantwortlich zu sein. Sie gaben damit das bisherige Geschäftsmodell der Zusammenarbeit mit den Belegärzten auf, in welchem die Belegärzte gegenüber den Versicherern selbstständige Leistungserbringer, Tarifpartner und Rechnungsteller waren (Gutachten Eugster, S. 15). Wo somit ein solcher Spitalvertrag besteht, ist im stationären Bereich nicht mehr der Beleg(zahn)arzt Auftragnehmer, sondern das Spital (Gutachten Eugster, S. 20). Die SwissDRG-Fallpauschalen sind Vollkostenpauschalen. Sie umfassen die Kosten von sämtlichen im und vom Spital erbrachten medizinischen und nichtmedizinischen Leistungen des stationären Behandlungsfalls (Gutachten Eugster, S. 19). Bei Vereinbarung von SwissDRG-Pauschalen werden die betreffenden Rechnungen von der IV direkt dem jeweiligen Spital vergütet, in welchem die Leistung erbracht wird. Spital und Belegarzt haben sich bilateral über die Höhe des Arzthonorars beziehungsweise die Aufteilung der SwissDRG-Pauschale zu verständigen.</w:t>
      </w:r>
    </w:p>
    <w:p>
      <w:r>
        <w:rPr>
          <w:b/>
        </w:rPr>
        <w:t>E. 4.1</w:t>
      </w:r>
    </w:p>
    <w:p>
      <w:r>
        <w:t>Die Vorinstanz erwog im Wesentlichen, die Invalidenversicherung vergüte stationäre Leistungen wie im KVG mittels BGE 148 V 7 S. 15 Vollkostenpauschalen. Wo ein solcher Spitalvertrag bestehe, seien Belegzahnärzte im stationären Bereich nicht mehr Auftragnehmer der Versicherer. Auftragnehmer der Invalidenversicherung sei nunmehr ausschliesslich das Spital. Die Invalidenversicherung habe damit die bisher für sie tätigen Belegzahnärzte mit den neu abgeschlossenen Spitalverträgen als Leistungserbringer und Auftragnehmer für stationäre Leistungen in Belegarztspitälern ausgeschlossen. Der faktische Ausschluss der Belegzahnärzte als Auftragnehmer für stationäre Leistungen in Belegarztspitälern sei grundsätzlich ohne schriftliche Kündigung des SSO-Zahnarzttarif-Vertrags zulässig, denn die Invalidenversicherung habe sich mit dessen Abschluss nicht verpflichtet, (einzig) den angeschlossenen Zahnärzten IV-Patienten zur Behandlung zuzuweisen. Auch ergebe die freie Wahl des Leistungserbringers gemäss Art. 26 bis Abs. 1 IVG keinen Anspruch auf freie Arztwahl im Spital im Falle einer stationären Behandlung. Vielmehr stehe es in der Gestaltungsfreiheit der Invalidenversicherung, diesbezüglich ausschliesslich mit Heilanstalten statt mit Belegzahnärzten als Leistungserbringer zusammenzuarbeiten. Ebenso wenig bestehe ein verfassungsrechtlicher Anspruch der Ärzte oder Zahnärzte, von der Invalidenversicherung Behandlungsaufträge zu erhalten. Der Beschwerdeführer könne auch durch den Verweis auf die von der Beschwerdegegnerin am 26. Oktober 2006 erteilte Kostengutsprache nichts zu seinen Gunsten ableiten.</w:t>
      </w:r>
    </w:p>
    <w:p>
      <w:r>
        <w:rPr>
          <w:b/>
        </w:rPr>
        <w:t>E. 4.2</w:t>
      </w:r>
    </w:p>
    <w:p>
      <w:r>
        <w:t>Weiter erwog die Vorinstanz, die Invalidenversicherung sei nach den Regeln von Treu und Glauben ( Art. 9 BV ) verpflichtet gewesen, die Einführung der SwissDRG-Fallpauschalen der SSO als Partnerin des Tarifvertrags unmissverständlich und rechtzeitig anzukündigen. Das Prinzip des Vertrauensschutzes könne insbesondere dann angerufen werden, wenn eine Praxis- oder Rechtsänderung eintrete, ohne dass die Möglichkeit der Anpassung oder Mitwirkung an der Gestaltung der neuen Rechtslage bestanden habe. Die Rechtswirkung des Vertrauensschutzes bestehe diesfalls in einer angemessenen Übergangsregelung bzw. angemessenen Übergangsfrist. Für die Bestimmung einer solchen Übergangsfrist könne man sich vorliegend an die Kündigungsfrist von einem Jahr gemäss dem SSO-Tarifvertrag halten. Die neue Abrechnungsmethode sei per 1. Januar 2012 eingeführt worden, so dass bis Ende Dezember 2012 Vertrauensschutz bestanden habe. Der Beschwerdeführer habe die im vorliegenden Verfahren massgebende Operation am 16. Juli 2014 durchgeführt. Nach Einführung der SwissDRG Anfang 2012 seien BGE 148 V 7 S. 16 ihm damit zweieinhalb Jahre und somit genügend Zeit verblieben, um mit der Klinik B. zu klären, wie seine zahnärztlichen Kosten im Falle einer stationären Behandlung abgerechnet würden. Eine solche Klärung sei den Zahnärzten im SSO Internum Nr. 1/2012 auch empfohlen worden. Ob der Beschwerdeführer diesbezügliche Abklärungen getätigt habe, könne vorliegend offenbleiben, da es jedenfalls nicht der Beschwerdegegnerin angelastet werden könne, falls er dies unterlassen haben sollte.</w:t>
      </w:r>
    </w:p>
    <w:p>
      <w:r>
        <w:rPr>
          <w:b/>
        </w:rPr>
        <w:t>E. 4.3</w:t>
      </w:r>
    </w:p>
    <w:p>
      <w:r>
        <w:t>Der Beschwerdeführer macht insbesondere geltend, durch die Einführung des SwissDRG-Systems sei der SSO-Tarifvertrag nicht aufgehoben worden. Dieser sei zwischen der IV und der SSO abgeschlossen worden. Der nicht gekündigte Vertrag könne keinesfalls durch einen Vertrag zwischen der IV und einem Spital aufgehoben oder sonst wie verändert werden. Die Vorinstanz übergehe den Grundsatz, dass Verträge zu halten seien. Das SwissDRG-System sei auf die hier interessierende Behandlung nicht anwendbar. Vielmehr werde die Vergütung nach wie vor durch den SSO-Tarifvertrag geregelt. Es wäre Aufgabe der IV gewesen, den bestehenden und hier massgebenden SSO-Tarifvertrag zu kündigen. Zwischen der Klinik B. und der IV sei, wie seine Abklärungen nunmehr ergeben hätten, mit Wirkung ab 1. Juli 2013 ein Vertrag abgeschlossen worden, der das SwissDRG-System eingeführt habe. An diesem Vertrag sei er nicht beteiligt gewesen. Dieser sei ihm bislang auch nicht bekannt gewesen. Erst während der Beschwerdefrist habe er auf Anfrage hin erfahren, dass der Vertrag per 1. Juli 2013 in Kraft gesetzt worden sei. Die Beschwerdegegnerin habe mit Mitteilung vom 26. Oktober 2006 eine einheitliche Kostengutsprache für die Zeit bis 31. Mai 2017 erteilt. Die entsprechende Mitteilung sei auf die einzelnen Durchführungsstellen bezogen, weshalb die Beschwerdegegnerin die Durchführungsstellen über die neue Abrechnungsmodalitäten zuvor ausdrücklich hätte informieren müssen, was sie nicht getan habe. Der durch die Kostengutsprache begründete Vertrauensschutz habe damit ohnehin bis zum Abschluss der interessierenden Behandlung massgebend sein müssen.</w:t>
      </w:r>
    </w:p>
    <w:p>
      <w:r>
        <w:rPr>
          <w:b/>
        </w:rPr>
        <w:t>E. 5.1</w:t>
      </w:r>
    </w:p>
    <w:p>
      <w:r>
        <w:t>Dem Beschwerdeführer ist darin beizupflichten, dass die IV bei der Einführung des SwissDRG-Systems mit den Spitälern den SSO-Tarifvertrag nicht gekündigt hat, weshalb dieser grundsätzlich nach wie vor gilt und auch einzuhalten ist (pacta sunt servanda). Daraus kann er aber für den hier zu beurteilenden Fall nichts zu seinen Gunsten ableiten, wie sich aus dem Folgenden ergibt. BGE 148 V 7 S. 17</w:t>
      </w:r>
    </w:p>
    <w:p>
      <w:r>
        <w:rPr>
          <w:b/>
        </w:rPr>
        <w:t>E. 5.1.1</w:t>
      </w:r>
    </w:p>
    <w:p>
      <w:r>
        <w:t>Vorab ist festzuhalten, dass der Beschwerdeführer der IV-Stelle vor Durchführung der Operation am 16. Juli 2014 keinen Kostenvoranschlag gemäss Art. 6.1 des SSO-Tarifvertrags (vgl. E. 3.6 hiervor) eingereicht hat. Eine gestützt auf einen detaillierten Kostenvoranschlag ergangene Kostengutsprache fehlt demnach, weshalb nach Art. 6.2 des SSO-Tarifvertrags grundsätzlich keine Zahlungspflicht besteht. Wie die Vorinstanz zutreffend festhielt, vermag der Beschwerdeführer entgegen seinen Vorbringen auch aus der von der Beschwerdegegnerin am 26. Oktober 2006 erteilten Kostengutsprache für medizinische Massnahmen nichts zu seinen Gunsten abzuleiten. Zum einen basiert diese nicht auf einem detaillierten Kostenvoranschlag des Beschwerdeführers, weshalb nicht von einem eigentlichen Behandlungsauftrag mit implizit eingeschlossenen Honorarzusagen gesprochen werden kann. Zum anderen lag die Kostengutsprache im Zeitpunkt der streitigen Behandlungen bereits mehr als sieben Jahre zurück, sodass der Beschwerdeführer gehalten gewesen wäre, der IV-Stelle einen neuen Kostenvoranschlag einzureichen (vgl. Art. 6.3 des SSO-Tarifvertrags). Sodann wurde in jener Kostengutsprache lediglich erwähnt, dass die Vergütung nach IV-Tarif erfolge, ohne diesen zu bezeichnen. Der Beschwerdeführer wies in seiner Klagebegründung vor dem kantonalen Schiedsgericht darauf hin, es sei im Bereich der IV nicht üblich gewesen, einen den Anforderungen von Art. 6.1 des SSO-Tarifvertrags entsprechenden Kostenvoranschlag einzureichen, was die Beschwerdegegnerin indessen in Abrede stellte. Vorliegend muss darüber - mit Blick auf das Nachfolgende - nicht abschliessend befunden werden.</w:t>
      </w:r>
    </w:p>
    <w:p>
      <w:r>
        <w:rPr>
          <w:b/>
        </w:rPr>
        <w:t>E. 5.1.2</w:t>
      </w:r>
    </w:p>
    <w:p>
      <w:r>
        <w:t>Die vorliegend streitigen Leistungen des Beschwerdeführers fanden im Rahmen einer stationären Behandlung in der Klinik B. statt. Seit 1. Juli 2013 besteht zwischen dieser und der MTK/ MV/IV ein SwissDRG-Tarifvertrag, mit welchem Fallpauschalen eingeführt wurden (vgl. E. 3.9 hiervor). Diese Vollkostenpauschalen umfassen sowohl die ärztlichen als auch die zahnärztlichen Leistungen. Dass die Invalidenversicherung nicht befugt gewesen wäre, einen solchen Vertrag abzuschliessen, wird von keiner Seite geltend gemacht und davon ist mit Blick auf Art. 27 Abs. 1 IVG auch nicht auszugehen. Sodann besteht kein Anlass zu bezweifeln, dass zwischen der Klinik und der Invalidenversicherung ein Auftragsverhältnis in Bezug auf die für die versicherte Person konkret angeordneten medizinischen Massnahmen bestand (vgl. E. 3.4 hiervor). So BGE 148 V 7 S. 18 nahm die Klinik die Patientin auf und stellte der Invalidenversicherung nach Abschluss der Behandlung die Fallpauschale gemäss SwissDRG in Rechnung, welche diese dann auch beglich (vgl. E. 2.2 hiervor). Die Vorinstanz hat demnach zu Recht erkannt, dass hinsichtlich der streitigen stationären Behandlung in der Klinik B. allein die Klinik als Auftragnehmerin und Leistungserbringerin gilt und nicht der Beschwerdeführer, der die streitigen Behandlungen als Belegzahnarzt ausführte (vgl. E. 3.8 und 4.1 hiervor). Mit anderen Worten gab die Klinik mit der Einführung des SwissDRG-Systems das bisherige Geschäftsmodell der Zusammenarbeit mit den Belegärzten auf, in welchem diese gegenüber den Versicherern selbstständige Leistungserbringer, Tarifpartner und Rechnungsteller waren (vgl. E. 3.9 hiervor).</w:t>
      </w:r>
    </w:p>
    <w:p>
      <w:r>
        <w:rPr>
          <w:b/>
        </w:rPr>
        <w:t>E. 5.1.3</w:t>
      </w:r>
    </w:p>
    <w:p>
      <w:r>
        <w:t>Die IV hat ihrerseits durch den Abschluss eines SwissDRG-Tarifvertrags mit einer Klinik den Anwendungsbereich des SSO-Tarifvertrags faktisch auf ambulante zahnärztliche Behandlungen beschränkt. Dies ist insoweit zulässig, als sich die Invalidenversicherung - wie die Vorinstanz richtig erkannt hat - mit Abschluss des SSO-Tarifvertrags nicht verpflichtet hat, ausschliesslich den angeschlossenen Zahnärzten IV-Patienten zur Behandlung zuzuweisen. Mit anderen Worten kann der Beschwerdeführer aus dem SSO-Tarifvertrag keinen Behandlungsanspruch ableiten. Da sich aus der freien Wahl des Leistungserbringers gemäss Art. 26 bis Abs. 1 IVG zudem kein Anspruch auf freie Arztwahl im Spital im Falle einer stationären Behandlung ableiten lässt, steht es in der Gestaltungsfreiheit der IV, auf den Miteinbezug von Belegärzten oder Belegzahnärzten als Leistungserbringer zu verzichten und für stationäre Behandlungen ausschliesslich mit Heilanstalten zusammenzuarbeiten. Das hat die IV-Stelle vorliegend getan, indem sie in Beachtung des Naturalleistungsprinzips die Klinik B. mit der Behandlung der versicherten Person beauftragte (vgl. E. 5.1.2 hiervor).</w:t>
      </w:r>
    </w:p>
    <w:p>
      <w:r>
        <w:rPr>
          <w:b/>
        </w:rPr>
        <w:t>E. 5.1.4</w:t>
      </w:r>
    </w:p>
    <w:p>
      <w:r>
        <w:t>Anzufügen bleibt, dass kein verfassungsrechtlicher Anspruch der Ärzte und Zahnärzte besteht, von der Invalidenversicherung Behandlungsaufträge zu erhalten (vgl. BGE 138 II 398 E. 3.9.2, BGE 138 II 191 E. 4.4.1; BGE 130 I 26 E. 4.5). Der Beschwerdeführer beruft sich denn auch zu Recht nicht auf die Wirtschaftsfreiheit ( Art. 27 BV ). Eine Nichtzulassung als Leistungserbringer im Rahmen von stationären Behandlungen schliesst nur den Anspruch aus, zu Lasten der Versicherung abrechnen zu können, nicht aber das Recht auf gewerbliche Betätigung, wie die Vorinstanz richtig erkannte (vgl. auch BGE 138 II 398 E. 3.9.2; BGE 148 V 7 S. 19 BGE 132 V 6 E. 2.5.2). Somit können Ärzte und Zahnärzte weiterhin in einem Spital, in welchem nach SwissDRG-Pauschalen abgerechnet wird, Behandlungen durchführen. Nur sind sie in einem solchen Fall nicht mehr Leistungserbringer resp. Auftragnehmer und das Honorar für die erbrachten Leistungen richtet sich nach diesen Pauschalen bzw. nach der mit dem Spital getroffenen Vereinbarung (vgl. Gutachten Eugster, S. 21).</w:t>
      </w:r>
    </w:p>
    <w:p>
      <w:r>
        <w:rPr>
          <w:b/>
        </w:rPr>
        <w:t>E. 5.1.5</w:t>
      </w:r>
    </w:p>
    <w:p>
      <w:r>
        <w:t>Soweit der Beschwerdeführer vorbringt, er habe nichts vom SwissDRG-Tarifvertrag zwischen der Invalidenversicherung und der Klinik B. gewusst, so erscheint dies nicht glaubhaft. Wie das BSV in seiner Vernehmlassung zutreffend ausführt, war der Systemwechsel mit der Einführung von SwissDRG eine grundlegende Änderung in der Tarifstruktur, welche Jahre der Vorbereitung und Planung sowie der aktiven Mitarbeit aller Tarifpartner nach sich zog. Über diesen Systemwechsel im Bereich des KVG informierte die SSO ihre Mitglieder, wie die Vorinstanz zutreffend feststellte. So habe der Vorstand der SSO in seinem Mitteilungsblatt SSO Internum N° 1/2012 unter dem Titel "Fallpauschalen/DRG - auch Zahnärzte betroffen!" darauf hingewiesen, dass ab 1. Januar 2012 im stationären Bereich diagnosebezogene Fallpauschalen (DRG) gelten würden. Davon würden, was einige überraschen möge, auch zahnärztliche Leistungen betroffen sein. Behandle ein Zahnarzt einen Spitalpatienten (für den die Fallpauschale gelte), so müsse der Behandler mit dem Spital (dem ja die Versicherung die Pauschale vergüte) vorab klären, wie die zahnärztlichen Kosten abgerechnet würden. Demnach ist davon auszugehen, dass alle Mitglieder der SSO und somit auch der Beschwerdeführer vom bevorstehenden Systemwechsel der anwendbaren Tarife im stationären Bereich im Bereich des KVG Kenntnis hatten. Doch auch über den Systemwechsel in der Klinik B. im IV-Bereich musste der Beschwerdeführer im Bild sein. Die Änderung betraf nicht nur unmittelbar seine persönliche Interessensphäre als Beleg(zahn)arzt, sondern auch die strategischen Aspekte der Klinik. In diesem Zusammenhang ist zu betonen, dass der Beschwerdeführer seit 1993 ununterbrochen auch als Verwaltungsrat der Klinik B. AG amtet (zur Notorietät öffentlich zugänglicher Eintragungen im Handelsregister: Urteile 4A_739/2011 vom 3. April 2012 E. 1.3; 4A_645/2011 vom 27. Januar 2012 E. 3.4.2; wobei notorische Tatsachen weder behauptet noch bewiesen werden müssen und auch keine Anhörung erforderlich ist: vgl. BGE 135 III 88 E. 4.1 mit BGE 148 V 7 S. 20 Hinweisen; Urteil 1C_582/2018 vom 23. Dezember 2019 E. 2.3). Die Einführung der Abrechnung nach SwissDRG-Pauschalen war für die Finanzkontrolle und die Finanzplanung der Klinik zweifellos von grosser Bedeutung (zu den unübertragbaren Aufgaben des Verwaltungsrates mit Bezug auf die Finanzen vgl. Art. 716a Abs. 1 Ziff. 3 OR ). Infolgedessen musste dem Beschwerdeführer auch bewusst sein, dass bei bestehendem SwissDRG-Tarifvertrag für die stationär durchgeführten Behandlungen nicht er, sondern das Spital Leistungserbringer resp. Durchführungsstelle war. Vor diesem Hintergrund wäre er gehalten gewesen, vor Durchführung der stationären Behandlungen mit der Klinik B. sein Honorar zu vereinbaren. Zumindest aber hätte er sich bei der Klinik oder der IV nach dem geltenden Tarif erkundigen müssen.</w:t>
      </w:r>
    </w:p>
    <w:p>
      <w:r>
        <w:rPr>
          <w:b/>
        </w:rPr>
        <w:t>E. 5.2</w:t>
      </w:r>
    </w:p>
    <w:p>
      <w:r>
        <w:t>Aus dem Gesagten folgt, dass es nicht Bundesrecht verletzt, wenn die Vorinstanz von der Massgeblichkeit des SwissDRG-Systems ausging.</w:t>
      </w:r>
    </w:p>
    <w:p>
      <w:r>
        <w:rPr>
          <w:b/>
        </w:rPr>
        <w:t>E. 5.3</w:t>
      </w:r>
    </w:p>
    <w:p>
      <w:r>
        <w:t>Für die von der Vorinstanz aus dem Grundsatz von Treu und Glauben ( Art. 9 BV ) abgeleitete Übergangsfrist (vgl. E. 4.2 hiervor) und die Frage, ob es damit sein Bewenden hat, bleibt im hier zu beurteilenden Fall im Übrigen kein Raum: Nach dem Gesagten (vgl. E. 5.1.5 hiervor) ist davon auszugehen, dass der Beschwerdeführer vom geltenden SwissDRG-Tarifvertrag in der Klinik B. auch im IV-Bereich Kenntnis hatte. Dennoch hat er die Behandlung in der Klinik vorbehaltlos und ohne vorgängige Rücksprache mit der IV (insbesondere ohne Vorlage eines Kostenvoranschlags) durchgeführt. Es war ihm bekannt, dass er aufgrund des neuen Vertrags selber nicht mehr als Vertragspartner der IV agieren konnte. Wenn er trotz dieser Umstände (be)handelte, wie wenn sich nichts geändert hätte, tat er dies wider besseres Wissen. Insoweit kann sich der Beschwerdeführer nicht auf den Grundsatz von Treu und Glauben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