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234</w:t>
      </w:r>
    </w:p>
    <w:p>
      <w:r>
        <w:t>Bundesgericht (BGE), 2022-04-14, DE</w:t>
      </w:r>
    </w:p>
    <w:p>
      <w:r>
        <w:rPr>
          <w:b/>
        </w:rPr>
        <w:t xml:space="preserve">Quelle: </w:t>
      </w:r>
      <w:r>
        <w:t>https://mcp.opencaselaw.ch/entscheid/bge_BGE_148_V_234</w:t>
      </w:r>
    </w:p>
    <w:p>
      <w:r>
        <w:t>FR: ATF 148 V 234</w:t>
      </w:r>
    </w:p>
    <w:p>
      <w:r>
        <w:t>IT: DTF 148 V 234</w:t>
      </w:r>
    </w:p>
    <w:p>
      <w:pPr>
        <w:pStyle w:val="Heading2"/>
      </w:pPr>
      <w:r>
        <w:t>Regeste</w:t>
      </w:r>
    </w:p>
    <w:p>
      <w:r>
        <w:t>Regeste Art. 2 Abs. 1 und 4 BVG; Art. 1j Abs. 1 lit. c BVV 2. In Fällen, in denen ein Arbeitnehmer beim gleichen Arbeitgeber sowohl im Haupt- als auch im Nebenerwerb tätig ist, findet Art. 1j Abs. 1 lit. c BVV 2 keine Anwendung. Vielmehr sind in diesen Fällen die Löhne, die in beiden Tätigkeiten erzielt wurden, in Anwendung von Art. 2 Abs. 1 BVG zusammenzurechnen (E. 5).</w:t>
      </w:r>
    </w:p>
    <w:p>
      <w:r>
        <w:t>Regeste Art. 2 al. 1 et 4 LPP; art. 1j al. 1 let. c OPP 2. Dans les cas où un salarié exerce pour le compte du même employeur aussi bien une activité principale qu'une activité accessoire, l'art. 1j al. 1 let. c OPP 2 ne s'applique pas. Dans ces cas, il faut additionner les salaires obtenus dans les deux activités en application de l'art. 2 al. 1 LPP (consid. 5).</w:t>
      </w:r>
    </w:p>
    <w:p>
      <w:r>
        <w:t>Regesto Art. 2 cpv. 1 e 4 LPP; art. 1j cpv. 1 lett. c OPP 2. Nei casi in cui un lavoratore esercita presso lo stesso datore di lavoro sia un'attività lucrativa principale che una accessoria, l'art. 1j cpv. 1 lett. c OPP 2 non si applica. In questi casi i salari riscossi in entrambe le attività devono essere sommati in applicazione dell'art. 2 cpv. 1 LPP (consid. 5).</w:t>
      </w:r>
    </w:p>
    <w:p>
      <w:pPr>
        <w:pStyle w:val="Heading2"/>
      </w:pPr>
      <w:r>
        <w:t>Erwägungen</w:t>
      </w:r>
    </w:p>
    <w:p>
      <w:r>
        <w:rPr>
          <w:b/>
        </w:rPr>
        <w:t>E. 2</w:t>
      </w:r>
    </w:p>
    <w:p>
      <w:r>
        <w:t>Streitig ist die Pflicht des Beschwerdegegners zur Nachzahlung von BVG-Beiträgen für die in den Jahren 2013 bis 2015 ausgeübte BGE 148 V 234 S. 236 Tätigkeit des Beschwerdeführers als sozialpädagogischer Familienbegleiter bei der Pflege C. des Kantons Zürich.</w:t>
      </w:r>
    </w:p>
    <w:p>
      <w:r>
        <w:rPr>
          <w:b/>
        </w:rPr>
        <w:t>E. 3.1</w:t>
      </w:r>
    </w:p>
    <w:p>
      <w:r>
        <w:t>Nach Art. 2 Abs. 1 BVG unterstehen Arbeitnehmer, die das 17. Altersjahr überschritten haben und bei einem Arbeitgeber einen über dem Grenzbetrag von Art. 7 Abs. 1 BVG liegenden Jahreslohn beziehen, der obligatorischen Versicherung. Der Mindestlohn nach Art. 7 Abs. 1 BVG betrug in den Jahren 2013 und 2014 Fr. 21'060.- (Art. 5 der Verordnung vom 18. April 1984 über die berufliche Alters-, Hinterlassenen- und Invalidenvorsorge [BVV 2; SR 831.441.1] in der Fassung der Änderung vom 21. September 2012, in Kraft seit 1. Januar 2013 [AS 2012 6347]) und im Jahr 2015 Fr. 21'150.- ( Art. 5 BVV 2 in der Fassung der Änderung vom 15. Oktober 2014, in Kraft seit 1. Januar 2015 [AS 2014 3343]).</w:t>
      </w:r>
    </w:p>
    <w:p>
      <w:r>
        <w:rPr>
          <w:b/>
        </w:rPr>
        <w:t>E. 3.2</w:t>
      </w:r>
    </w:p>
    <w:p>
      <w:r>
        <w:t>In Art. 2 Abs. 4 BVG wird der Bundesrat ermächtigt, die Versicherungspflicht für Arbeitnehmer in Berufen mit häufig wechselnden oder befristeten Anstellungen zu regeln sowie zu bestimmen, welche Arbeitnehmer aus besonderen Gründen nicht der obligatorischen Versicherung unterstellt sind. Von dieser delegierten Rechtsetzungskompetenz hat der Bundesrat in Art. 1j BVV 2 Gebrauch gemacht. Mit dieser Bestimmung wird geregelt, wann ein Arbeitnehmer nicht der im BVG statuierten obligatorischen Versicherung untersteht, obwohl die Voraussetzungen grundsätzlich erfüllt sind. Unter anderem sind Arbeitnehmer, die nebenberuflich tätig und bereits für eine hauptberufliche Erwerbstätigkeit obligatorisch versichert sind oder im Hauptberuf eine selbständige Erwerbstätigkeit ausüben, nicht der obligatorischen Versicherung unterstellt ( Art. 1j Abs. 1 lit. c BVV 2 ). In BGE 129 V 132 E. 3 hat das Bundesgericht entschieden, dass ein Arbeitnehmer, der zwei gleichwertige Erwerbstätigkeiten mit einem Pensum von je 50 % ausübt und bei beiden Tätigkeiten die Eintrittsschwelle gemäss Art. 2 Abs. 1 i.V.m. Art. 7 Abs. 1 BVG erreicht, bei den Vorsorgeeinrichtungen beider Arbeitgeber obligatorisch zu versichern ist. In einem anderen Fall wurde die Versicherungspflicht bei drei Teilzeiterwerbstätigkeiten mit einem Pensum von 50, 30 und 20 % für jede dieser Tätigkeiten bejaht ( BGE 136 V 390 E. 3.1).</w:t>
      </w:r>
    </w:p>
    <w:p>
      <w:r>
        <w:rPr>
          <w:b/>
        </w:rPr>
        <w:t>E. 4.1</w:t>
      </w:r>
    </w:p>
    <w:p>
      <w:r>
        <w:t>Die Vorinstanz stellte fest, als Sozialarbeiter im Zentrum B. habe der Beschwerdeführer seit April 2011 in einem 100 %-Pensum gearbeitet. Zuletzt habe er einen Jahreslohn von BGE 148 V 234 S. 237 Fr. 99'123.- erzielt. Demgegenüber sei er als sozialpädagogischer Familienbegleiter für die Pflege C. bloss in den Jahren 2013, 2014 und 2015 im Rahmen einer einzigen Fallbegleitung tätig gewesen. Im Jahr 2013 habe er dadurch ein Einkommen von Fr. 16'320.-, im Jahr 2014 von Fr. 9'660.- und im Jahr 2015 von Fr. 7'620.- generiert. Weiter erwog das kantonale Gericht, der Beschwerdeführer schliesse gestützt auf den Umstand, dass er für die beiden von ihm ausgeübten Tätigkeiten beim Kanton Zürich angestellt gewesen sei, das Vorliegen einer Nebentätigkeit aus. Dem sei nicht so. Die Rechtsprechung habe zwar Ausnahmen definiert, in welchen die Bestimmung von Art. 1j BVV 2 nicht zur Anwendung gelange. Massgebendes Kriterium hierfür sei aber nicht, ob ein Arbeitnehmer bei zwei verschiedenen Arbeitgebern tätig sei, sondern ob die Tätigkeiten als gleichwertig zu qualifizieren seien ( BGE 136 V 390 E. 3.1; BGE 129 V 132 E. 3). Wenn eine Gleichwertigkeit zu verneinen sei, sei zwischen der Haupt- und der Nebentätigkeit zu unterscheiden. Dies müsse kohärenterweise auch im Fall von Mehrfachbeschäftigungen beim gleichen Arbeitgeber gelten, die - wie vorliegend - in keinem Zusammenhang zueinander stünden. Im Rahmen seiner Rechtsprechung im Steuerrecht (Urteil 2C_786/2008 vom 11. Juni 2009 E. 2.1) habe das Bundesgericht denn auch festgehalten, dass ein Nebenerwerb vorliege, wenn eine hauptberuflich erwerbstätige Person beim gleichen oder bei anderen Arbeitgebern nebenberuflich tätig sei oder wenn eine nicht hauptberuflich tätige Person zeitweilig bei einem oder mehreren Arbeitgebern erwerbstätig sei. Die Vorinstanz schloss, mit Blick auf die konkreten Umstände sei ohne Weiteres ersichtlich, dass die Tätigkeit als Sozialarbeiter die Haupttätigkeit darstelle. In deren Rahmen sei der Beschwerdeführer bei der BVK denn auch obligatorisch versichert gewesen. Die Anstellung als sozialpädagogischer Familienbegleiter habe bloss zu einem Nebenerwerb geführt. Hierfür bestehe keine Versicherungspflicht.</w:t>
      </w:r>
    </w:p>
    <w:p>
      <w:r>
        <w:rPr>
          <w:b/>
        </w:rPr>
        <w:t>E. 4.2</w:t>
      </w:r>
    </w:p>
    <w:p>
      <w:r>
        <w:t>Nach unbestrittener und für das Bundesgericht grundsätzlich verbindlicher Feststellung der Vorinstanz betrug der Jahreslohn des Beschwerdeführers als Sozialarbeiter im Zentrum B. Fr. 99'123.-, womit sein Erwerbseinkommen den Mindestlohn von Art. 7 Abs. 1 BVG überstieg (vgl. vorangehende E. 3.1). Weiter stellte das kantonale Gericht verbindlich fest, dass der Beschwerdeführer als sozialpädagogischer Familienbegleiter in den Jahren 2013, 2014 und 2015 Fr. 16'320.-, Fr. 9'660.- und Fr. 7'620.- verdiente. Damit BGE 148 V 234 S. 238 wurde die Eintrittsschwelle für die obligatorische Versicherung gemäss Art. 2 Abs. 1 i.V.m. Art. 7 Abs. 1 BVG nicht erreicht. Würde es sich bei der Tätigkeit als sozialpädagogischer Familienbegleiter um einen Nebenerwerb im Dienste eines anderen Arbeitgebers als jenem seines Haupterwerbes handeln, so wäre der Beschwerdeführer für das bei dieser Nebenerwerbstätigkeit erzielte Einkommen bereits aufgrund des Nichterreichens der Eintrittsschwelle gemäss Art. 2 Abs. 1 i.V.m. Art. 7 Abs. 1 BVG nicht berufsvorsorgeversichert. Das kantonale Gericht ging indessen in seinen weiteren Erwägungen von einer Mehrfachbeschäftigung beim gleichen Arbeitgeber - dem Kanton Zürich - aus, was letztinstanzlich unbestritten geblieben ist. Es stellt sich daher die Frage, ob der vom Kanton Zürich bei der BVK zu versichernde Lohn einzig aufgrund des beim Zentrum B. erzielten Verdienstes zu bemessen ist, oder ob zu diesem Lohn auch die Entschädigung für die Tätigkeit als sozialpädagogischer Familienbegleiter bei der Pflege C. des Kantons Zürich hinzuzurechnen ist.</w:t>
      </w:r>
    </w:p>
    <w:p>
      <w:r>
        <w:rPr>
          <w:b/>
        </w:rPr>
        <w:t>E. 5.1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147 V 297 E. 6.1 mit Hinweisen).</w:t>
      </w:r>
    </w:p>
    <w:p>
      <w:r>
        <w:rPr>
          <w:b/>
        </w:rPr>
        <w:t>E. 5.2.1</w:t>
      </w:r>
    </w:p>
    <w:p>
      <w:r>
        <w:t>Gemäss Art. 2 Abs. 1 BVG unterstehen der obligatorischen Versicherung Arbeitnehmer, die das 17. Altersjahr überschritten haben und bei einem Arbeitgeber einen über dem Grenzbetrag von Art. 7 Abs. 1 BVG liegenden Jahreslohn beziehen. Diese Bestimmung äussert sich nicht explizit dazu, wie es sich bei Mehrfachbeschäftigungen beim gleichen Arbeitgeber verhält. Die BGE 148 V 234 S. 239 Formulierung, wonach der Mindestlohn "bei einem Arbeitgeber" ("d'un même employeur", "un datore di lavoro") zu erzielen ist, weist indes darauf hin, dass zur Beurteilung der Frage, welcher Verdienst in Art. 2 Abs. 1 BVG anzurechnen ist, einzig massgebend ist, ob dieser beim selben Arbeitgeber erzielt wurde, wohingegen es keine Rolle spielt, aus welchem Arbeitsverhältnis der Verdienst stammt. Nichts anderes ergibt sich aus der Botschaft des Bundesrates an die Bundesversammlung vom 19. Dezember 1975 zum Bundesgesetz über die berufliche Alters-, Hinterlassenen- und Invalidenvorsorge (BBl 1976 I 219). Danach ist - neben der altersmässigen Voraussetzung - für die Unterstellung unter die obligatorische Versicherung einzig erforderlich, dass ein Arbeitnehmer "bei ein und demselben Arbeitgeber" einen anrechenbaren Jahreslohn von (damals) mehr als Fr. 12'000.- verdient.</w:t>
      </w:r>
    </w:p>
    <w:p>
      <w:r>
        <w:rPr>
          <w:b/>
        </w:rPr>
        <w:t>E. 5.2.2</w:t>
      </w:r>
    </w:p>
    <w:p>
      <w:r>
        <w:t>Die berufliche Vorsorge soll zusammen mit der Alters-, Hinterlassenen- und Invalidenversicherung die Fortsetzung der gewohnten Lebenshaltung in angemessener Weise ermöglichen ( Art. 113 Abs. 2 lit. a BV und Art. 1 Abs. 1 BVG i.V.m. Art. 49 Abs. 2 Ziff. 1 BVG und Art. 89a Abs. 6 Ziff. 1 ZGB ; BGE 143 V 91 E. 3.1). Sie beruht auf der Grundidee, eine umfassende Versicherung für die Risiken Alter, Tod und Invalidität zu gewährleisten und diesbezügliche Lücken im Vorsorgeschutz durch ein Obligatorium zu schliessen (vgl. BGE 135 I 28 E. 5.3.2 mit Verweis auf den Bericht des Bundesrates an die Bundesversammlung vom 2. September 1970 über die Förderung der beruflichen Alters-, Invaliden- und Hinterlassenenvorsorge [BBl 1970 II 570]). Der Normzweck der Fortsetzung der gewohnten Lebenshaltung spricht dafür, möglichst alle ausbezahlten Löhne berufsvorsorgerechtlich zu erfassen und im Falle einer Mehrfachbeschäftigung alle hierbei erzielten Verdienste der obligatorischen Versicherung zu unterstellen. Der Bundesrat wird zwar in Art. 2 Abs. 4 BVG ermächtigt, gewisse Arbeitnehmer von der obligatorischen Versicherung auszunehmen. Gemäss dem Wortlaut dieser Delegationsnorm bedarf es hierfür jedoch besonderer Gründe. Solche können unter anderem darin bestehen, dass eine Erfassung dieser Arbeitnehmer im System der beruflichen Vorsorge einen unverhältnismässigen Aufwand verursachen würde (vgl. hierzu auch E. 5.3.2).</w:t>
      </w:r>
    </w:p>
    <w:p>
      <w:r>
        <w:rPr>
          <w:b/>
        </w:rPr>
        <w:t>E. 5.3</w:t>
      </w:r>
    </w:p>
    <w:p>
      <w:r>
        <w:t>Zu prüfen bleibt im Nachfolgenden, ob der Bundesrat durch Erlass von Art. 1j Abs. 1 lit. c BVV 2 auch Nebenerwerbstätigkeiten im Dienste des Arbeitgebers der Haupterwerbstätigkeit von der obligatorischen Versicherung ausnehmen wollte. BGE 148 V 234 S. 240</w:t>
      </w:r>
    </w:p>
    <w:p>
      <w:r>
        <w:rPr>
          <w:b/>
        </w:rPr>
        <w:t>E. 5.3.1</w:t>
      </w:r>
    </w:p>
    <w:p>
      <w:r>
        <w:t>Gemäss dieser Bestimmung sind Arbeitnehmer, die nebenberuflich tätig sind und bereits für eine hauptberufliche Erwerbstätigkeit obligatorisch versichert sind oder im Hauptberuf eine selbständige Erwerbstätigkeit ausüben, der obligatorischen Versicherung nicht unterstellt. Dem Wortlaut ist nicht zu entnehmen, ob es sich beim Arbeitnehmer um eine Person handelt, die ihre Haupt- und Nebentätigkeit beim gleichen Arbeitgeber hat oder nicht. In der Erläuterung des BSV zur damaligen Bestimmung (aArt. 1 Abs. 1 lit. c BVV 2) wurde einzig die Konstellation von einem Arbeitnehmer, der im Dienste von mehreren Arbeitgebern steht, erwähnt (Kommentar des BSV zum Entwurf der Verordnung 2 über die berufliche Alters-, Hinterlassenen- und Invalidenvorsorge [BVV 2] vom Sommer 1983, S. 7). Auch die Lehre äussert sich in diese Richtung (SCHNEIDER, in: BVG und FZG, Schneider/Geiser/Gächter [Hrsg.], 2. Aufl. 2019, Rz. 48; CORINNE MONNARD SÉCHAUD, La protection offerte par la prévoyance professionnelle et les nouvelles exigences en matière d'aménagement du temps et des modes de travail, SZS 2001 S. 113; BRÜHWILER, Die betriebliche Personalvorsorge in der Schweiz, 1989, S. 277 Rz. 29).</w:t>
      </w:r>
    </w:p>
    <w:p>
      <w:r>
        <w:rPr>
          <w:b/>
        </w:rPr>
        <w:t>E. 5.3.2</w:t>
      </w:r>
    </w:p>
    <w:p>
      <w:r>
        <w:t>Die besonderen Gründe gemäss Art. 2 Abs. 4 BVG , welche für den Erlass von Art. 1j Abs. 1 lit. c BVV 2 und damit für den Ausschluss von Nebenerwerbstätigkeiten aus der obligatorischen Versicherung sprechen, sind die folgenden: Damit soll soweit wie möglich verhindert werden, dass Arbeitnehmer, die im Dienste mehrerer Arbeitgeber stehen, jedesmal dem Obligatorium unterstellt werden. Ohne diese Regelung könnte die gesetzliche Vorsorge in gewissen Fällen in einem vom Gesetzgeber unerwünschten Masse ausgedehnt werden (zitierter Kommentar zum Entwurf der BVV 2, S. 7; vgl. zur Problematik auch: BSV, Probleme im Zusammenhang mit der Unterstellung im BVG, ZAK 1985 S. 362 ff., S. 371 f.). Auch würde bei der Unterstellung unter das Obligatorium von Arbeitnehmern, die im Dienste mehrerer Arbeitgeber stehen, bei jeder der beteiligten Vorsorgeeinrichtungen ein nicht unerheblicher administrativer Aufwand entstehen, welcher im Falle von geringfügigen Nebenerwerbstätigkeiten in keinem Verhältnis zum verbesserten Vorsorgeschutz des Arbeitnehmers stünde. Mit Art. 1j Abs. 1 lit. c BVV 2 wurde bezweckt, die administrative Arbeit der Vorsorgeeinrichtungen zu erleichtern und zu vermeiden, dass Arbeitnehmer dem Obligatorium unterstellt werden müssen, wenn es nicht nötig ist (vgl. BGE 129 V 132 E. 3.4.3 mit Verweis auf den zitierten Kommentar zum Entwurf der BVV 2, S. 6). BGE 148 V 234 S. 241 Dieser aus dem Verhältnismässigkeitsprinzip abgeleitete Zweckgedanke kommt indes nicht zum Tragen, wenn ein Arbeitnehmer beim gleichen Arbeitgeber mehrere Tätigkeiten ausübt, ist in diesen Fällen doch grundsätzlich jeweils dieselbe Vorsorgeeinrichtung zuständig, womit der Mehraufwand für die Versicherung jeder dieser Löhne kaum ins Gewicht fällt. Im Weiteren ist - unabhängig vom vorliegenden Fall - auf die nicht unerhebliche Missbrauchsgefahr hinzuweisen, welche bestünde, wenn keine Kumulation der beim gleichen Arbeitgeber aus verschiedenen Tätigkeiten erzielten Verdienste erfolgen würde. Ein Arbeitgeber könnte durch den Abschluss von mehreren Arbeitsverträgen mit demselben Arbeitnehmer Arbeitsverhältnisse mit Verdiensten unter dem Mindestlohn von Art. 7 Abs. 1 BVG schaffen und auf diese Weise das Obligatorium von Art. 2 Abs. 1 BVG ganz oder teilweise umgehen.</w:t>
      </w:r>
    </w:p>
    <w:p>
      <w:r>
        <w:rPr>
          <w:b/>
        </w:rPr>
        <w:t>E. 5.4</w:t>
      </w:r>
    </w:p>
    <w:p>
      <w:r>
        <w:t>Aus dem Gesagten ergibt sich, dass in jenen Fällen, in denen ein Arbeitnehmer beim gleichen Arbeitgeber sowohl im Haupt- als auch im Nebenerwerb tätig ist, Art. 1j Abs. 1 lit. c BVV 2 keine Anwendung findet. Vielmehr sind in diesen Fällen die Löhne, die in den beiden Tätigkeiten erzielt wurden, in Anwendung von Art. 2 Abs. 1 BVG zusammenzurechnen. An diesem Ergebnis vermag auch das von der Vorinstanz zitierte Urteil 2C_786/2008 vom 11. Juni 2009 E. 2.1 (vgl. vorangehende E. 4.1) nichts zu ändern, ging es in diesem doch einzig um die Ausgestaltung der Steuertarife bei der Quellenbesteuerung und damit bei Sachverhalten mit internationalem Bezug. Die spezifische Interessenlage im Steuerrecht lässt sich nicht auf die vorliegend streitige sozialversicherungsrechtliche Fragestellung übertragen.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