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419</w:t>
      </w:r>
    </w:p>
    <w:p>
      <w:r>
        <w:t>Bundesgericht (BGE), 2022-08-25, DE</w:t>
      </w:r>
    </w:p>
    <w:p>
      <w:r>
        <w:rPr>
          <w:b/>
        </w:rPr>
        <w:t xml:space="preserve">Quelle: </w:t>
      </w:r>
      <w:r>
        <w:t>https://mcp.opencaselaw.ch/entscheid/bge_BGE_148_IV_419</w:t>
      </w:r>
    </w:p>
    <w:p>
      <w:r>
        <w:t>FR: ATF 148 IV 419</w:t>
      </w:r>
    </w:p>
    <w:p>
      <w:r>
        <w:t>IT: DTF 148 IV 419</w:t>
      </w:r>
    </w:p>
    <w:p>
      <w:pPr>
        <w:pStyle w:val="Heading2"/>
      </w:pPr>
      <w:r>
        <w:t>Regeste</w:t>
      </w:r>
    </w:p>
    <w:p>
      <w:r>
        <w:t>Regeste Art. 5 i.V.m. Art. 15 JStG; Art. 431 Abs. 2 StPO i.V.m. Art. 51 und 110 Abs. 7 StGB; Entschädigung im Jugendstrafrecht nach (vorsorglicher) Unterbringung. Im Jugendstrafrecht führt der Umstand, dass der aufgrund der (vorsorglichen) Unterbringung erstandene Freiheitsentzug länger war als der ausgesprochene Freiheitsentzug, nicht zu einer finanziellen Entschädigung des betroffenen Jugendlichen gestützt auf Art. 431 Abs. 2 StPO i.V.m. Art. 3 JStPO, da der mit der (vorsorglichen) Unterbringung verbundene Freiheitsentzug keine Untersuchungshaft i.S.v. Art. 431 Abs. 2 StPO i.V.m. Art. 51 und Art. 110 Abs. 7 StGB darstellt (E. 1.6). Ein übergangsweiser Aufenthalt eines Jugendlichen, dem gegenüber eine (vorsorgliche) geschlossene Unterbringung verfügt wurde, in einer Straf- oder Haftanstalt kann zulässig sein, soweit dies erforderlich ist, um eine geeignete Einrichtung zu finden. Kriterien für die Beurteilung der Zulässigkeit der Dauer bis zum Eintritt in eine geeignete Einrichtung (E. 1.7.3 mit Hinweis auf BGE 148 I 116 E. 2.4). Zulässigkeit im konkreten Fall bejaht (E. 1.7.4).</w:t>
      </w:r>
    </w:p>
    <w:p>
      <w:r>
        <w:t>Regeste Art. 5 en relation avec art. 15 DPMin; art. 431 al. 2 CPP en relation avec art. 51 et 110 al. 7 CP; indemnisation en droit pénal des mineurs après un placement (à titre provisionnel). En droit pénal des mineurs, le fait que la privation de liberté résultant du placement (à titre provisionnel) a été plus longue que la privation de liberté prononcée ne donne pas lieu à une indemnisation financière du mineur concerné fondée sur l'art. 431 al. 2 CPP en relation avec l'art. 3 PPMin, car la privation de liberté liée au placement (à titre provisionnel) ne constitue pas une détention provisoire au sens de l'art. 431 al. 2 CPP en relation avec les art. 51 et 110 al. 7 CP (consid. 1.6). Un mineur, condamné à un placement (à titre provisionnel) en milieu fermé, peut être placé à titre transitoire dans un établissement pénitentiaire ou de détention, dans la mesure où cela est nécessaire pour trouver un établissement approprié. Critères d'appréciation de la licéité de la durée jusqu'à l'entrée dans un établissement approprié (consid. 1.7.3 avec référence à l' ATF 148 I 116 consid. 2.4). Admissibilité dans le cas concret (consid. 1.7.4).</w:t>
      </w:r>
    </w:p>
    <w:p>
      <w:r>
        <w:t>Regesto Combinati art. 5 e 15 DPMin; combinati art. 431 cpv. 2 CPP e art. 51 e 110 cpv. 7 CP; indennizzo nel diritto penale minorile dopo un collocamento (cautelare). Nel diritto penale minorile, il fatto che il collocamento (cautelare) abbia comportato una privazione di libertà eccedente la privazione di libertà pronunciata non conduce a un indennizzo finanziario del minore interessato sulla base dei combinati art. 431 cpv. 2 CPP e art. 3 PPMin, perché la privazione di libertà connessa a un collocamento (cautelare) non costituisce una carcerazione preventiva ai sensi dei combinati art. 431 cpv. 2 CPP e art. 51 e 110 cpv. 7 CP (consid. 1.6). Un minore, nei confronti del quale è stato disposto un collocamento (cautelare) in un istituto chiuso, può essere collocato a titolo transitorio in un penitenziario o in uno stabilimento carcerario, nella misura in cui ciò sia necessario per trovare un istituto adeguato. Criteri per l'esame dell'ammissibilità della durata fino all'entrata in un istituto adeguato (consid. 1.7.3 con rinvio alla DTF 148 I 116 consid. 2.4). Ammissibilità data nella fattispecie (consid. 1.7.4).</w:t>
      </w:r>
    </w:p>
    <w:p>
      <w:pPr>
        <w:pStyle w:val="Heading2"/>
      </w:pPr>
      <w:r>
        <w:t>Erwägungen</w:t>
      </w:r>
    </w:p>
    <w:p>
      <w:r>
        <w:rPr>
          <w:b/>
        </w:rPr>
        <w:t>E. 1</w:t>
      </w:r>
    </w:p>
    <w:p>
      <w:r>
        <w:t>(...)</w:t>
      </w:r>
    </w:p>
    <w:p>
      <w:r>
        <w:rPr>
          <w:b/>
        </w:rPr>
        <w:t>E. 1.6.1</w:t>
      </w:r>
    </w:p>
    <w:p>
      <w:r>
        <w:t>Das Jugendstrafrecht folgt wie das Strafgesetzbuch dem dualistisch-vikariierenden System, wonach neben einer Massnahme grundsätzlich auch eine Strafe auszufällen ist. Die Schutzmassnahme und die Strafe erfüllen ergänzende Funktionen. So ist die Strafe die Reaktion der Gesellschaft auf das mit der Tat verbundene Verschulden des Jugendlichen, während die Massnahme seiner persönlichen Situation Rechnung trägt (Botschaft vom 21. September 1998 zur Änderung des Schweizerischen Strafgesetzbuches [...], BBl 1999 II 2251 Ziff. 423.314.1). Im Jugendstrafrecht stehen die erzieherischen Massnahmen im Vordergrund. Die Sanktionen des Jugendstrafrechts dienen nicht der Tatvergeltung, sondern verfolgen das Ziel, den zu beurteilenden Jugendlichen im Sinne der Spezialprävention von der Begehung weiterer Straftaten abzuhalten. So stehen Erziehung und Schutz des Jugendlichen als Leitprinzipien im Vordergrund ( Art. 2 Abs. 1 JStG [SR 311.1]), wobei die Lebens- und BGE 148 IV 419 S. 422 Familienverhältnisse sowie die Entwicklung ihrer Persönlichkeit besonders zu beachten sind ( Art. 2 Abs. 2 JStG ). Das Jugendstrafrecht strebt die täterorientierte Sanktionierung minderjähriger Straftäter an. Jugendstrafrechtliche Sanktionen sollen in erster Linie eine erzieherische Wirkung erzeugen, indem sie als Erziehungsmittel weitere Straftaten verhindern und die soziale Integration der straffälligen Jugendlichen fördern sollen. Das Alter und der individuelle Entwicklungstand der Jugendlichen ist stets zugunsten der Jugendlichen zu berücksichtigen ( Art. 1 Abs. 3 JStG ). Der Schutz der Jugendlichen ist unter einem fürsorgerischen Gesichtspunkt zu verstehen. Da die Straffälligkeit Jugendlicher oftmals auf ein schlechtes soziales Umfeld oder ein erzieherisches Fehlverhalten der Eltern zurückzuführen ist, sollen Jugendliche mit gezielten Schutzmassnahmen vor solchen Einflussfaktoren geschützt werden. Sie sollen befähigt werden, künftig straffrei zu leben (vgl. BGE 141 IV 172 E. 3.1; BGE 137 IV 7 E. 1.3; DEBORAH TORRIANI, in: Das schweizerische Vollzugslexikon, Benjamin F. Brägger [Hrsg.], 2. Aufl. 2022, S. 416; siehe auch: BBl 1999 II 2216 Ziff. 411; CHRISTOF RIEDO, Jugendstrafrecht und Jugendstrafprozessrecht, 2013, S. 66 f. und 92 f.; NICOLE HOLDEREGGER, Die Schutzmassnahmen des Jugendstrafgesetzes unter besonderer Berücksichtigung der Praxis in den Kantonen Schaffhausen und Zürich, 2009, S. 27 und 59 ff.). Die Wahl der Sanktion erfolgt entsprechend nicht nach denselben Kriterien wie beim Erwachsenenstrafrecht (vgl. ausführlich hierzu: BGE 137 IV 7 E. 1.3 mit Hinweis).</w:t>
      </w:r>
    </w:p>
    <w:p>
      <w:r>
        <w:rPr>
          <w:b/>
        </w:rPr>
        <w:t>E. 1.6.2</w:t>
      </w:r>
    </w:p>
    <w:p>
      <w:r>
        <w:t>Neben Strafen ( Art. 22-25 JStG ) kennt das Jugendstrafrecht namentlich Schutzmassnahmen. Dazu gehören die Aufsicht ( Art. 12 JStG ), die persönliche Betreuung ( Art. 13 JStG ), die ambulante Behandlung ( Art. 14 JStG ) sowie die offene und geschlossene Unterbringung ( Art. 15 JStG ). Strafen und Schutzmassnahmen können bzw. müssen miteinander kombiniert werden, wobei regelmässig zunächst die Massnahme und dann allenfalls die Strafe vollzogen wird (vgl. BGE 141 IV 172 E. 3.1 mit Hinweisen; Urteil 6B_326/2020 / 6B_327/2020 vom 17. April 2020 E. 3.3.1). Schutzmassnahmen nach Art. 12 ff. JStG sollen den Bedürfnissen des jugendlichen Rechtsbrechers nach Erziehung und Schutz Rechnung tragen. Sie sind daher periodisch auf ihre Wirkungen in Bezug auf die Persönlichkeit und Entwicklung des Jugendlichen und damit auf ihre Zweckmässigkeit zu überprüfen und bei Bedarf anzupassen. Im Verlaufe des Vollzugs kann sich zeigen, dass die ursprünglich angeordnete Schutzmassnahme ihren Zweck aufgrund geänderter Verhältnisse nicht mehr BGE 148 IV 419 S. 423 erreicht und eine andere Schutzmassnahme als erforderlich oder jedenfalls als zweckmässiger erscheint. Art. 18 Abs. 1 Satz 1 JStG erlaubt daher eine Massnahme nachträglich zu ändern, d.h. durch eine andere zu ersetzen, wenn sich die Verhältnisse geändert haben, wobei die Änderung in der Anordnung einer im Verhältnis zur bisherigen mehr oder weniger eingreifenden Massnahme bestehen kann. Die in Art. 18 JStG geregelte Massnahmenabänderbarkeit bildet Wesensmerkmal des jugendstrafrechtlichen Massnahmenrechts. Es gilt dabei der Grundsatz der jederzeitigen Abänderbarkeit der Massnahme bis zur Vollendung des 25. Altersjahrs eines Jugendlichen (siehe Art. 19 Abs. 2 JStG ; vgl. BGE 141 IV 172 E. 3.1 mit Hinweisen; Urteil 6B_326/2020 / 6B_327/2020 vom 17. April 2020 E. 3.3.1). Schutzmassnahmen werden wie die Massnahmen im Erwachsenenstrafrecht im Gegensatz zu Strafen auf unbestimmte Zeit angeordnet (vgl. HUG/SCHLÄFLI/VALÄR, in: Basler Kommentar, Strafrecht, Bd. II, 4. Aufl. 2019, N. 3 zu Art. 18 JStG ; RIEDO, a.a.O., S. 122). Die Vollzugsbehörde prüft jährlich, ob und wann die Massnahme aufgehoben werden kann. Sie hebt sie auf, wenn ihr Zweck erreicht ist oder feststeht, dass sie keine erzieherischen oder therapeutischen Wirkungen mehr entfaltet ( Art. 19 Abs. 1 JStG ). Die Möglichkeit, eine Schutzmassnahme aufzuheben, darf nicht dazu führen, dass diese vorschnell aufgegeben wird. Jeder Massnahmenvollzug ist mit Hindernissen, Widerständen und Schwierigkeiten verbunden (RIEDO, a.a.O., S. 124). Eine Qualität des Jugendstrafrechts muss es bleiben, dass die Vollzugsbehörden mit Beharrlichkeit und Geduld mit Jugendlichen arbeiten, dass sie die ins Auge gefassten oder getroffenen Lösungen selbst in Frage stellen, dass sie - was das JStG ermöglicht - kreative und unkonventionelle Wege beschreiten. Ziel muss dabei sein, den vorgezeichneten Weg eines Jugendlichen in eine kriminelle Karriere zu unterbrechen (HUG/SCHLÄFLI/VALÄR, a.a.O., N. 4 zu Art. 19 JStG ). Alle Massnahmen enden spätestens mit Vollendung des 25. Altersjahres ( Art. 19 Abs. 2 JStG ). Sämtliche Schutzmassnahmen im Sinne von Art. 12 ff. JStG müssen den Verfassungsgrundsatz der Verhältnismässigkeit gemäss Art. 36 Abs. 3 BV wahren, das heisst, die Massnahme muss zur Zielerreichung geeignet sowie erforderlich sein und es muss eine vernünftige Relation bestehen zwischen dem Eingriff und dem angestrebten Ziel ( Art. 1 Abs. 2 lit. c JStG i.V.m. Art. 56 Abs. 2 StGB ; Urteile 1B_292/2022 vom 28. Juli 2022 E. 2.2; 1B_32/2011 vom 15. Februar 2011 E. 2.6; RIEDO, a.a.O., S. 98; HUG/SCHLÄFLI/VALÄR, a.a.O., N. 5 f. zu Art. 10 BGE 148 IV 419 S. 424 JStG und N. 3b sowie 12d zu Art. 15 JStG ; siehe auch: BGE 141 IV 172 E. 3.3).</w:t>
      </w:r>
    </w:p>
    <w:p>
      <w:r>
        <w:rPr>
          <w:b/>
        </w:rPr>
        <w:t>E. 1.6.3</w:t>
      </w:r>
    </w:p>
    <w:p>
      <w:r>
        <w:t>Die vorsorglichen Schutzmassnahmen nach Art. 5 i.V.m. Art. 12 ff. JStG dienen dazu, die notwendige erzieherische Betreuung oder therapeutische Behandlung der Jugendlichen bereits im Untersuchungsverfahren sicherzustellen (HUG/SCHLÄFLI/VALÄR, a.a.O., N. 1 zu Art. 5 JStG ; HUG/SCHLÄFLI, in: Basler Kommentar, Schweizerische Strafprozessordnung, 2. Aufl. 2014, N. 2 zu Art. 26 JStPO ; HOLDEREGGER, a.a.O., S. 392; siehe auch Urteil 6B_326/2020 / 6B_327/ 2020 vom 17. April 2020 E. 4.2). Bei vorsorglichen Schutzmassnahmen handelt es sich mit anderen Worten um provisorische Sofortmassnahmen zur umgehenden Gewährleistung des Schutzes und der Erziehung des Jugendlichen. Es geht um eine Krisenintervention. Voraussetzung dafür sind namentlich ein dringliches Schutzbedürfnis auf Seiten des Jugendlichen im Sinne einer psychischen, physischen oder erzieherischen Gefährdungslage sowie die Notwendigkeit einer unverzüglichen Intervention zur Gefahrenabwehr und -verhinderung. Überdies muss jede vorsorgliche Schutzmassnahme verhältnismässig sein ( BGE 141 IV 172 E. 3.3; HOLDEREGGER, a.a.O., S. 392 ff.).</w:t>
      </w:r>
    </w:p>
    <w:p>
      <w:r>
        <w:rPr>
          <w:b/>
        </w:rPr>
        <w:t>E. 1.6.4</w:t>
      </w:r>
    </w:p>
    <w:p>
      <w:r>
        <w:t>Demgegenüber dient die Untersuchungshaft gemäss Art. 27 JStPO (SR 312.1) ausschliesslich der Aufklärung der Straftat und darf daher nicht länger dauern als durch die Haftgründe (Flucht-, Kollusions-, Wiederholungs- und Ausführungsgefahr) und die Schwere der Straftat bedingt. Auch muss sie hinsichtlich der in Aussicht stehenden Sanktion verhältnismässig sein (HUG/SCHLÄFLI, a.a.O., N. 6 zu Art. 27 JStPO ). Im Sinne einer ultima ratio darf die Untersuchungshaft nur angeordnet werden, wenn ihr Zweck nicht durch andere Massnahmen erreicht werden kann (vgl. Art. 27 Abs. 1 JStPO ; BGE 142 IV 389 E. 4; BGE 137 IV 7 E. 1.6.1; JOSITSCH/RIESEN-KUPPER, Schweizerische Jugendstrafprozessordnung [JStPO], Kommentar, 2. Aufl. 2018, N. 1 zu Art. 27 JStPO ). Als Untersuchungshaft i.S.v. Art. 110 Abs. 7 StGB wird jede Freiheitsentziehung bezeichnet, die im Verlaufe einer Strafuntersuchung zum Zwecke der Untersuchung oder aus Gründen der Sicherheit angeordnet wird ( BGE 124 IV 269 E. 4; METTLER/SPICHTIN, in: Basler Kommentar, Strafrecht, Bd. I, 4. Aufl. 2019, N. 2 zu Art. 110 Abs. 7 StGB ).</w:t>
      </w:r>
    </w:p>
    <w:p>
      <w:r>
        <w:rPr>
          <w:b/>
        </w:rPr>
        <w:t>E. 1.6.5</w:t>
      </w:r>
    </w:p>
    <w:p>
      <w:r>
        <w:t>Zusammenfassend ist festzuhalten, dass Schutzmassnahmen gemäss Jugendstrafgesetz schuldunabhängige strafrechtliche Sanktionen sind, mit denen kein Schuldausgleich, sondern BGE 148 IV 419 S. 425 ausschliesslich erzieherische und/oder therapeutische Zwecke verfolgt werden (vgl. RIEDO, a.a.O., S. 94). Schutzmassnahmen sind im Unterschied zu Strafen zeitlich relativ unbestimmt. Ihr Ende bestimmt sich nicht durch simplen Zeitablauf. Auch sind sie im Unterschied zu Untersuchungs- und Sicherheitshaft nicht auf die Dauer des angeordneten Freiheitsentzugs beschränkt. Sie dauern vielmehr grundsätzlich so lange an, bis ihr Zweck erreicht ist, sich eine Zweckerreichung als aussichtslos erweist oder der Jugendliche das 25. Altersjahr erreicht hat (vgl. Art. 19 Abs. 1 und 2 JStG ; vgl. E. 1.6.1 f.). Vorsorgliche Schutzmassnahmen gewährleisten den Schutz und die Erziehung des Jugendlichen während der Untersuchung und dienen insofern der Krisenintervention (vgl. E. 1.6.3). Zwar handelt es sich dabei nicht um eine (materiellrechtliche) Sanktion, sondern um eine (prozessuale) Zwangsmassnahme (RIEDO, a.a.O., S. 131 und 273; siehe auch Urteil 1B_437/2011 vom 14. September 2011 E. 4.3). Jedoch unterscheidet sich die vorsorgliche geschlossene Unterbringung i.S.v. Art. 5 i.V.m. Art. 15 JStG nach dem Ausgeführten angesichts ihrer Zielsetzung klar von der Untersuchungshaft i.S.v. Art. 110 Abs. 7 und Art. 51 StGB sowie Art. 431 Abs. 2 StPO (vgl. auch JOSITSCH/RIESEN-KUPPER, a.a.O., N. 5 zu Art. 27 JStPO ). Dass eine (vorsorgliche) Unterbringung die Dauer eines allenfalls gleichzeitig ausgesprochenen Freiheitsentzugs übersteigt, wird - sofern sie verhältnismässig ist - durch ihren erzieherischen und/oder therapeutischen Zweck gerechtfertigt. Um eine "doppelte Bestrafung" des Jugendlichen zu vermeiden, ist die mit der (vorsorglichen) Unterbringung verbundene Freiheitsbeschränkung zwar auf den ausgesprochenen Freiheitsentzug anzurechnen, wenn die Unterbringung aus einem anderen Grund als jenem der Zweckerreichung aufgehoben wird (vgl. Art. 32 Abs. 3 JStG ; BGE 142 IV 359 E. 2; BGE 137 IV 7 E. 1.6.2). Dies hat jedoch nach dem Ausgeführten nicht zur Folge, dass der Jugendliche zu entschädigen ist, wenn der mit der (vorsorglichen) Unterbringung verbundene Freiheitsentzug länger war als der ausgesprochene Freiheitsentzug, da damit ein eigener Zweck (erzieherische und/oder therapeutische Betreuung) verfolgt wurde. Dass die Schutzmassnahme letztlich gescheitert ist, ändert daran nichts.</w:t>
      </w:r>
    </w:p>
    <w:p>
      <w:r>
        <w:rPr>
          <w:b/>
        </w:rPr>
        <w:t>E. 1.6.6</w:t>
      </w:r>
    </w:p>
    <w:p>
      <w:r>
        <w:t>Offengelassen werden kann, wie eine vergleichbare Ausgangslage (der mit dem [vorzeitigen] Massnahmenvollzug verbundene Freiheitsentzug übersteigt die ausgesprochene Freiheitsstrafe) im Erwachsenenstrafrecht zu beurteilen wäre. Die Ausführungen des Beschwerdeführers, mit denen er eine Verletzung des Gleichbehandlungsgebots gemäss Art. 8 BV aufzeigen will, genügen den qualifizierten BGE 148 IV 419 S. 426 Begründungsanforderungen an eine Verfassungsrüge (vgl. Art. 106 Abs. 2 BGG ) nicht. Er begründet seine Ansicht, wie sich die Rechtslage im Erwachsenenstrafrecht bei einer vergleichbaren Situation gestaltet, und damit letztlich auch die von ihm gerügte Ungleichbehandlung einzig mit dem Hinweis auf eine in der Literatur vertretene Meinung. Auf die Rüge ist daher nicht einzutreten.</w:t>
      </w:r>
    </w:p>
    <w:p>
      <w:r>
        <w:rPr>
          <w:b/>
        </w:rPr>
        <w:t>E. 1.7.1</w:t>
      </w:r>
    </w:p>
    <w:p>
      <w:r>
        <w:t>Es bleibt die Frage zu beurteilen, ob der teilweise Vollzug in einem Gefängnis, mithin die Vollzugsmodalitäten der vorsorglichen geschlossenen Unterbringung i.S.v. Art. 5 i.V.m. Art. 15 JStG rechtskonform bzw. verhältnismässig waren. Der Beschwerdeführer argumentiert, er sei wiederholt für einen längeren Zeitraum in Anwendung von Art. 90 des Einführungsgesetzes des Kantons Bern vom 11. Juni 2009 zur Zivilprozessordnung, zur Strafprozessordnung und zur Jugendstrafprozessordnung (EG ZSJ; BSG 271.1) in Sicherungshaft versetzt worden, deren Vollzug jenem einer Untersuchungshaft entsprochen habe. Auch sei bereits bei der Anordnung der Schutzmassnahme klar gewesen, dass auch die Voraussetzungen einer Untersuchungshaft gegeben wären, die Schutzmassnahme jedoch vorgehe.</w:t>
      </w:r>
    </w:p>
    <w:p>
      <w:r>
        <w:rPr>
          <w:b/>
        </w:rPr>
        <w:t>E. 1.7.2</w:t>
      </w:r>
    </w:p>
    <w:p>
      <w:r>
        <w:t>Die Vorinstanz erwägt, mit der vorsorglichen geschlossenen Unterbringung sei die Beruhigung und Stabilisierung der Lebenssituation, die Auseinandersetzung mit dem delinquenten Verhalten, die Gewährleistung einer betreuten Wohnsituation, eine geregelte Tagesstruktur sowie allenfalls das Erstellen eines forensisch-psychiatrischen Zusatzgutachtens zur Einschätzung der Rückfallgefahr, der Persönlichkeit des Beschwerdeführers und einer allfälligen psychopathologischen Fehlentwicklung inklusive Massnahmenempfehlung bezweckt worden. Die Vorgeschichte des Beschwerdeführers zeige, dass er auf enge und klare Strukturen angewiesen gewesen sei und die dringend therapeutische Auseinandersetzung sowie das Erlernen neuer Verhaltensmuster zum damaligen Zeitpunkt nur im geschlossenen Rahmen habe sichergestellt werden können. Es würden sich keine Hinweise ergeben, dass andere als pädagogische Ziele im Vordergrund gestanden hätten; der Fokus habe auf der persönlichen Situation des Beschwerdeführers und deren Verbesserung gelegen. In Übereinstimmung mit den Ausführungen der Leitung der Jugendanwaltschaft könne von einem typischen Fall gesprochen werden, in dem eine vorsorgliche Unterbringung aus spezialpräventiven Überlegungen als sinnvoll erachtet worden sei. Dass damit unter BGE 148 IV 419 S. 427 anderem auch das Ziel der Verhinderung weiterer Delinquenz verfolgt worden sei, sei legitim und noch kein Hinweis darauf, dass es sich in Wahrheit um Untersuchungshaft gehandelt habe. Die Vorinstanz führt weiter aus, die Haftgründe der Flucht- sowie Wiederholungsgefahr seien im Anordnungsentscheid der vorsorglichen geschlossenen Unterbringung ausdrücklich nur für den Fall einer allfälligen Anordnung der Untersuchungshaft erwähnt worden, weshalb dies ebenfalls kein Hinweis sei, dass im Ergebnis Untersuchungshaft vorgelegen habe. Der Umstand, dass auch die Anordnung von Untersuchungshaft möglich gewesen wäre, bedeute daher nicht, dass die Schutzmassnahme lediglich ein Deckmantel für die Untersuchungshaft gewesen sei, zumal diese im Sinne einer ultima ratio nur angeordnet werde, wenn ihr Zweck nicht durch andere Massnahmen erreicht werden könne. Vorliegend hätten die Hoffnung und das Bestreben bestanden, dass die geschlossene Unterbringung eine Verhaltensänderung beim Beschwerdeführer bewirken könne, weshalb von einer "verkappten" Untersuchungshaft nicht die Rede sein könne. Auch die mehrmalige Sicherungshaft sei aufgrund des Verhaltens des Beschwerdeführers notwendig gewesen. Indem dieser sich der Massnahme immer wieder widersetzt oder sich ihr entzogen habe, habe die Jugendanwaltschaft mehrmals neue Einrichtungen finden müssen. Die Sicherungshaft i.S.v. Art. 90 EG ZSJ sei geschaffen worden, um eine Unterbringungslücke zu überbrücken, wenn infolge eines Vollzugsnotstands keine geeignete Einrichtung gefunden werden könne, was beim Beschwerdeführer der Fall gewesen sei. Der Umstand, dass er dies durch sein Verhalten provoziert habe, ändere nichts daran. Angesichts des bisherigen Verhaltens des Beschwerdeführers sei es nicht immer möglich gewesen, innerhalb weniger Wochen eine Anschlusslösung zu finden. Insgesamt seien die Verlegungen aber immer noch zeitnah erfolgt und es bestünden keine Hinweise, dass es einzig um die Sicherstellung des Beschwerdeführers im Hinblick auf die Verhinderung weiterer Delikte oder eine Flucht gegangen sei. Deshalb seien insgesamt keine Umstände ersichtlich, welche es rechtfertigen würden, die Sicherungshaft als Untersuchungshaft zu behandeln.</w:t>
      </w:r>
    </w:p>
    <w:p>
      <w:r>
        <w:rPr>
          <w:b/>
        </w:rPr>
        <w:t>E. 1.7.3</w:t>
      </w:r>
    </w:p>
    <w:p>
      <w:r>
        <w:t>Im Zusammenhang mit Massnahmen von Erwachsenen hat das Bundesgericht - unter anderem gestützt auf Entscheide, die zum Jugendstrafrecht ergangen sind - zur Zulässigkeit der Unterbringung eines Massnahmeunterworfenen in einer Straf- oder Haftanstalt festgehalten, diese sei als kurzfristige Überbrückung einer BGE 148 IV 419 S. 428 Notsituation mit materiellem Bundesrecht vereinbar. Mit Blick auf die Rechtsprechung des Europäischen Gerichtshofs für Menschenrechte (EGMR) führte das Bundesgericht aus, ein übergangsweiser Aufenthalt in einer Straf- oder Haftanstalt sei zulässig, solange dies erforderlich sei, um eine geeignete Einrichtung zu finden. Bei der Beurteilung werde insbesondere die Intensität der behördlichen Bemühungen für eine geeignete Platzierung berücksichtigt. Verstreiche indes infolge bekannter Kapazitätsschwierigkeiten längere Zeit, verstosse die Unterbringung in einer Strafanstalt unter Umständen gegen Art. 5 EMRK . Letztlich führe die nicht nur vorübergehende Unterbringung in einer Straf- oder Haftanstalt ohne Behandlung mit zunehmender Wartezeit dazu, dass der Zweck der Massnahme - die Resozialisierung des Betroffenen durch eine geeignete Behandlung - sowie der Anspruch des Massnahmeunterworfenen auf eine adäquate Behandlung unterlaufen und die in Art. 57 Abs. 2 StGB vorgesehene Vollstreckungsreihenfolge - Massnahme vor Strafe - umgedreht werde. Hinzu komme, dass das Behandlungsbedürfnis des Betroffenen nur so lange als Rechtfertigung für eine stationäre therapeutische Massnahme bzw. den damit verbundenen Freiheitsentzug herbeigezogen werden könne, als effektiv eine Behandlung stattfinde. Andernfalls könne der wahre Zweck der Massnahme allein in der Sicherung der betroffenen Person liegen. Ein solchermassen begründeter Freiheitsentzug wäre jedoch nur unter den strengen Voraussetzungen zulässig, die für die Verwahrung gelten ( BGE 148 I 116 E. 2.3; BGE 142 IV 105 E. 5.8.1 mit Hinweisen; Urteile 6B_326/2020 / 6B_327/2020 vom 17. April 2020 E. 4.3.3; 6B_840/2019 vom 15. Oktober 2019 E. 2.5.3). Der EGMR habe im Urteil Kadusic gegen Schweiz festgehalten, die Massnahme sei gemäss Art. 62c StGB aufzuheben, wenn keine geeignete Einrichtung (mehr) existiere. Er habe darauf hingewiesen, dass die Weigerung, sich der Massnahme zu unterziehen, nicht rechtfertige, den Massnahmeunterworfenen während Jahren in einer nicht geeigneten Einrichtung zu belassen (Urteile 6B_326/2020 / 6B_327/2020 vom 17. April 2020 E. 4.3.3; 6B_840/ 2019 vom 15. Oktober 2019 E. 2.5.3 mit Hinweis auf das Urteil des EGMR Kadusic gegen Schweiz vom 9. Januar 2018 § 57). Ein übergangsweiser Aufenthalt in einer Straf- oder Haftanstalt kann somit zulässig sein, soweit dies erforderlich ist, um eine geeignete Einrichtung zu finden (entsprechend wird zum Teil von "Organisationshaft" gesprochen; BGE 148 I 116 E. 2.4; BGE 142 IV 105 E. 5.8.1 mit Hinweis). Dies gilt auch für Jugendliche, denen gegenüber eine BGE 148 IV 419 S. 429 (vorsorgliche) geschlossene Unterbringung i.S.v. (Art. 5 i.V.m.) Art. 15 JStG verfügt wurde (vgl. Urteil 6B_326/2020 / 6B_327/2020 vom 17. April 2020 E. 4.3.2 ff.; siehe auch Urteil 1B_437/2011 vom 14. September 2011 E. 5.4 betreffend kurzfristige vorläufige Unterbringung in einer geschlossenen Einrichtung in "Krisensituationen"; HUG/SCHLÄFLI/VALÄR, a.a.O., N. 8a ff. zu Art. 15 JStG ). Bei der Beurteilung der Frage, ob die dafür aufgewendete Zeit verhältnismässig ist, ist vorab die Intensität der behördlichen Bemühungen von Bedeutung ( BGE 142 IV 105 E. 5.8.1 mit Hinweis; siehe auch Urteil 6B_1293/ 2016 vom 23. Oktober 2017 E. 2.1, wonach die Vollzugsbehörde ihre Suche auf die ganze Schweiz erstrecken muss). Weiter ist zu berücksichtigen, ob die Platzierung auf in der Person des Betroffenen begründete Schwierigkeiten stösst, beispielsweise wegen sprachlichen Problemen, Therapieverweigerung oder aggressivem Verhalten, und ob die temporäre Unterbringung zumindest teilweise bzw. in einer Anfangsphase als therapeutisch adäquat angesehen werden kann (vgl. etwa Urteile 6B_294/2020 vom 24. September 2020 E. 5; 6B_840/2019 vom 15. Oktober 2019 E. 2.5.5; zum Ganzen: BGE 148 I 116 E. 2.4 f. mit einer Darstellung von Beispielfällen).</w:t>
      </w:r>
    </w:p>
    <w:p>
      <w:r>
        <w:rPr>
          <w:b/>
        </w:rPr>
        <w:t>E. 1.7.4</w:t>
      </w:r>
    </w:p>
    <w:p>
      <w:r>
        <w:t>Im Rahmen der von der Jugendanwaltschaft vorsorglich angeordneten Unterbringung in einer geschlossenen Erziehungseinrichtung i.S.v. Art. 5 i.V.m. Art. 15 JStG befand sich der Beschwerdeführer im Zeitraum vom 17. Oktober 2018 bis am 14. November 2018 im Regionalgefängnis U. (Sicherungshaft), vom 14. November 2018 bis am 26. November 2018 im Untersuchungsgefängnis V. (Sicherungshaft), vom 26. November 2018 bis am 25. März 2019 im Aufnahmeheim W. (geschlossene Unterbringung), vom 25. März 2019 bis am 23. Juli 2019 im Untersuchungsgefängnis V. (Sicherungshaft), vom 23. Juli 2019 bis am 1. November 2019 im Massnahmenzentrum X. (geschlossene Unterbringung), vom 1. November 2019 bis am 18. Dezember 2019 in der Bewachungsstation und im Regionalgefängnis U. (Sicherungshaft), vom 18. Dezember 2019 bis am 2. März 2020 in der Durchgangsstation Y. (geschlossene Unterbringung) und vom 2. März 2020 bis 24. April 2020 im Regionalgefängnis Z. (Sicherungshaft). Ab dem Urteil des Jugendgerichts vom 24. April 2020, mit dem die offene Unterbringung und die ambulante Behandlung angeordnet wurden, befand er sich bis am 15. Juni 2020 in Sicherungshaft. Vom 15. Juni 2020 bis am 16. Juli 2020 wurde er offen untergebracht. Danach folgte bis zur BGE 148 IV 419 S. 430 Aufhebung der Schutzmassnahme am 5. August 2020 wiederum Sicherungshaft im Regionalgefängnis U. Unbestritten scheint, dass ein Gefängnis keine geeignete Einrichtung im Sinne von Art. 56 Abs. 5 StGB i.V.m. Art. 1 Abs. 2 lit. c JStG darstellt. Wie die Vorinstanz zutreffend festhält, wurde die vorsorgliche geschlossene Unterbringung des Beschwerdeführers unter anderem damit begründet, dass er eine Gefahr für sich und andere darstelle. Ferner wurde sie angeordnet, um weitere Delinquenz und weiteren Suchtmittelkonsum des Beschwerdeführers zu verhindern, seine Lebenssituation zu beruhigen und zu stabilisieren, eine chronische Suchtmittelabhängigkeit zu vermeiden, eine Auseinandersetzung des Beschwerdeführers mit seinem delinquenten Verhalten zu erreichen, eine betreute Wohnsituation sowie eine geregelte Tagesstruktur zu gewährleisten und allenfalls das Erstellen eines forensisch-psychiatrischen Zusatzgutachtens zu ermöglichen. Der Hinweis der Jugendanwaltschaft, wonach auch die Voraussetzungen der Untersuchungshaft erfüllt wären, lässt entgegen dem (impliziten) Einwand des Beschwerdeführers nicht darauf schliessen, bei der Schutzmassnahme habe es sich faktisch um Untersuchungshaft gehandelt, zumal die Jugendanwaltschaft damit insbesondere die Verhältnismässigkeit der Schutzmassnahme begründete. Mit der Vorinstanz ergeben sich auch aus den verschiedenen Versetzungsverfügungen der Jugendanwaltschaft keine Hinweise darauf, dass andere als erzieherische und therapeutische Gründe im Vordergrund gestanden hätten. Aus den entsprechenden Verfügungen ergibt sich zusammengefasst folgender Vollzugsablauf: Nach der Anordnung der vorsorglichen Schutzmassnahme am 17. Oktober 2018 verblieb der Beschwerdeführer zunächst im Gefängnis, bis eine geeignete Institution gefunden werden konnte. Diese vorübergehende Sicherungshaft von gut einem Monat ist nicht zu beanstanden. Am 26. November 2018 trat der Beschwerdeführer in das Aufnahmeheim W. ein. Der entsprechenden Überweisungsverfügung vom 20. November 2018 ist zu entnehmen, dass der Beschwerdeführer ein eng strukturiertes Wohn-, Betreuungs- und Behandlungssetting benötige und die dringend indizierte therapeutische Auseinandersetzung sowie das Erlernen neuer Verhaltensmuster aktuell nur im geschlossenen Rahmen sichergestellt werden könne, da der Beschwerdeführer bezüglich der Massnahme keine Einsicht zeige und sich dieser im offenen Rahmen entziehen würde. Mit Verfügung vom 26. März 2019 musste der Beschwerdeführer in Sicherungshaft BGE 148 IV 419 S. 431 versetzt werden, weil er nach rund eineinhalb Wochen in der offenen Abteilung aufgrund von Alkoholkonsum, Fluchtversuchen, Randalieren, Beschimpfungen und Bedrohung des Personals nicht mehr tragbar war. Am 23. Juli 2019 konnte der Beschwerdeführer in das Massnahmenzentrum X. eintreten, wobei mindestens ein Massnahmenzentrum die Aufnahme des Beschwerdeführers zuvor abgelehnt hatte. Die Sicherungshaft von knapp vier Monaten erscheint zwar lange, erweist sich jedoch angesichts der Umstände (das unkooperative und verweigernde Verhalten des Beschwerdeführers war der Grund für die Verlegung, die Jugendanwaltschaft hat sich um eine Anschlusslösung bemüht) noch als verhältnismässig. In der Überweisungsverfügung vom 15. Juli 2019 begründete die Jugendanwaltschaft mit Hinweis auf das zwischenzeitlich erstellte forensisch-psychiatrische Gutachten vom 26. April 2019 und die im Rahmen der zivilrechtlichen Massnahmen gemachten Erfahrungen, weshalb eine geschlossene Unterbringung erforderlich erscheint. Wiederum geht aus der Verfügung hervor, dass die erzieherische und therapeutische Betreuung des Beschwerdeführers im Vordergrund steht. Nachdem der Beschwerdeführer wiederholt aus dem Massnahmenzentrum geflohen und in der Arrestzelle seinen Pullover und die Decke angezündet sowie gegenüber dem Personal geäussert habe, er wolle sterben, wurde er nach einem vorübergehenden Aufenthalt in einem Psychiatriezentrum und der Bewachungsstation eines Spitals am 1. November 2019 erneut in Sicherungshaft versetzt. Per 18. Dezember 2019 trat der Beschwerdeführer in die Durchgangsstation Y. ein, wobei auch dieser Versuch, die erforderliche Schutzmassnahme zu vollziehen, aufgrund der Flucht des Beschwerdeführers scheiterte, weshalb er am 2. März 2020 wiederum in Sicherungshaft versetzt wurde, wo er bis zum Urteil vom 24. April 2020 verblieb. Aus den vorstehenden Ausführungen ergibt sich, dass die Jugendanwaltschaft wiederholt bemüht war, die angeordnete vorsorgliche geschlossene Unterbringung in einer geeigneten Einrichtung zu vollziehen. Die jeweiligen Verlegungen des Beschwerdeführers in die Gefängnisse sind nicht auf vom Staat verschuldete Kapazitätsengpässe, sondern auf das unkooperative Verhalten des Beschwerdeführers zurückzuführen. Die einzelnen Zeiträume, die der Beschwerdeführer in Sicherungshaft in verschiedenen Gefängnissen verbracht hat, erscheinen isoliert wie auch gesamthaft betrachtet nicht unverhältnismässig lang. Sicherlich lässt sich die Frage stellen, ob die Jugendanwaltschaft die Schutzmassnahme nach dem zweiten Behandlungsversuch hätte aufheben müssen. Angesichts des Grundsatzes, BGE 148 IV 419 S. 432 wonach Schutzmassnahmen im Jugendstrafrecht nicht vorschnell aufgehoben werden sollten und mit Beharrlichkeit sowie Geduld mit Jugendlichen gearbeitet werden sollte (vgl. E. 1.6.2), erweist sich der dreimalige Versuch der Unterbringung in einer geeigneten Einrichtung nicht als unverhältnismässig. Insgesamt verbrachte der Beschwerdeführer zwar eine relativ lange Zeit ohne erzieherische und/ oder therapeutische Betreuung in Sicherungshaft in verschiedenen Gefängnissen. Jedoch war diese Unterbringung stets nur vorübergehend und durch das unkooperative Verhalten des Beschwerdeführers begründet. Das Vorbringen des Beschwerdeführers, wonach die vorsorgliche Schutzmassnahme bzw. deren Vollzugsmodalitäten faktisch einer Untersuchungshaft gleichgekommen und damit zu entschädigen sei, ist damit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