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409</w:t>
      </w:r>
    </w:p>
    <w:p>
      <w:r>
        <w:rPr>
          <w:i/>
        </w:rPr>
        <w:t>Bundesgericht (BGE)</w:t>
      </w:r>
      <w:r>
        <w:rPr>
          <w:i/>
        </w:rPr>
        <w:t xml:space="preserve">  ·  2022-08-31</w:t>
      </w:r>
      <w:r>
        <w:rPr>
          <w:i/>
        </w:rPr>
        <w:t xml:space="preserve">  ·  FR</w:t>
      </w:r>
    </w:p>
    <w:p>
      <w:r>
        <w:rPr>
          <w:b/>
        </w:rPr>
        <w:t xml:space="preserve">Source: </w:t>
      </w:r>
      <w:r>
        <w:t>https://mcp.opencaselaw.ch/entscheid/bge_BGE_148_IV_409</w:t>
      </w:r>
    </w:p>
    <w:p>
      <w:r>
        <w:t>FR: ATF 148 IV 409 · IT: DTF 148 IV 409</w:t>
      </w:r>
    </w:p>
    <w:p>
      <w:pPr>
        <w:pStyle w:val="Heading2"/>
      </w:pPr>
      <w:r>
        <w:t>Regeste</w:t>
      </w:r>
    </w:p>
    <w:p>
      <w:r>
        <w:t>Regeste Art. 173 ff. StGB; Ehrverletzungen; Äusserungen gegenüber einem Rechtsanwalt. Die Bedeutung von Äusserungen, die ein Mandant gegenüber seinem Rechtsanwalt tätigt, ist nicht auf die gleiche Weise zu beurteilen wie die Bedeutung von Äusserungen, die gegenüber jeder anderen Drittperson gemacht werden. Um die freie und spontane Kommunikation zwischen Anwalt und Mandant nicht zu gefährden, erscheint es in einem solchen Kontext gerechtfertigt, eine Ehrverletzung nur mit Zurückhaltung zu bejahen. Dies kann der Fall sein, wenn die fraglichen Äusserungen keinen Bezug zu dem Fall haben, in dem der Anwalt tätig ist, und wenn sie letztlich nur darauf abzielen, die betreffende Person als Mensch verächtlich zu machen (E. 2).</w:t>
      </w:r>
    </w:p>
    <w:p>
      <w:r>
        <w:t>Regeste Art. 173 ss CP; infractions contre l'honneur; propos tenus à l'attention d'un avocat. Le sens de propos tenus par le client d'un avocat à l'attention de ce dernier ne doit pas être apprécié de la même manière que celui de déclarations exprimées à l'attention de n'importe quel autre tiers. Afin de ne pas compromettre l'exercice d'une communication libre et spontanée entre avocat et client, il se justifie en effet, dans un tel contexte, de n'admettre une atteinte à l'honneur qu'avec retenue. Tel peut être le cas lorsque les propos en cause n'ont pas de lien avec l'affaire dans laquelle intervient l'avocat et que ceux-ci ne tendent en définitive qu'à exposer la personne visée au mépris (consid. 2).</w:t>
      </w:r>
    </w:p>
    <w:p>
      <w:r>
        <w:t>Regesto Art. 173 segg. CP; delitti contro l'onore; esternazioni rivolte a un avvocato. Il senso delle esternazioni di un cliente al suo avvocato non dev'essere valutato allo stesso modo di quello di dichiarazioni rilasciate a chiunque altro. Per non pregiudicare una comunicazione libera e spontanea tra avvocato e cliente, si giustifica di riconoscere solo con riserbo un'offesa contro l'onore in tale contesto. Ciò può essere il caso se le esternazioni in questione non hanno alcun nesso con la vertenza in cui interviene l'avvocato e tendono in definitiva unicamente a esporre al disprezzo la persona interessata (consid. 2).</w:t>
      </w:r>
    </w:p>
    <w:p>
      <w:pPr>
        <w:pStyle w:val="Heading2"/>
      </w:pPr>
      <w:r>
        <w:t>Erwägungen</w:t>
      </w:r>
    </w:p>
    <w:p>
      <w:r>
        <w:rPr>
          <w:b/>
        </w:rPr>
        <w:t>E. 2</w:t>
      </w:r>
    </w:p>
    <w:p>
      <w:r>
        <w:t>S'agissant du premier de ces états de fait (cf. let. B.b.a), le recourant nie avoir proféré des propos attentatoires à l'honneur de l'intimé lors de son entretien avec l'avocat C. à la fin du mois de juillet 2017. En particulier, il fait grief à la cour cantonale d'avoir considéré que le contenu du courrier du 8 août 2017 constituait le reflet fidèle des déclarations faites à l'avocat lors de l'entretien sus-évoqué.</w:t>
      </w:r>
    </w:p>
    <w:p>
      <w:r>
        <w:rPr>
          <w:b/>
        </w:rPr>
        <w:t>E. 2.1</w:t>
      </w:r>
    </w:p>
    <w:p>
      <w:r>
        <w:t>La cour cantonale a tenu pour établi que, lors de leur entretien ayant donné lieu au courrier du 8 août 2017, le recourant avait relaté à l'avocat C. que l'intimé, en sa qualité d'administrateur de fait de F., avait détourné les sommes qu'il avait payées pour son bateau et l'avait frauduleusement incité à verser un montant supplémentaire de 125'000 EUR pour en obtenir la livraison. Ce faisant, le recourant avait accusé l'intimé d'avoir adopté des comportements pénalement répréhensibles, en particulier sous l'angle de l'infraction d'escroquerie (cf. art. 146 CP ), et avait donc porté atteinte à son honneur. Il n'y avait par ailleurs pas lieu d'autoriser le recourant à tenter d'apporter les preuves libératoires décrites à l' art. 173 ch. 2 CP . En effet, lors des débats d'appel, celui-ci avait admis en substance n'avoir été victime d'aucune tromperie de la part de l'intimé, contre lequel il n'avait aucune prétention, et n'avoir jamais supposé le contraire.</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BGE 148 IV 409 S. 413 insoutenable et cela non seulement dans sa motivation mais aussi dans son résultat ( ATF 146 IV 88 consid. 1.3.1; ATF 145 IV 154 consid. 1.1; ATF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La présomption d'innocence, garantie par les art. 10 CPP , 32 al. 1 Cst., 14 par. 2 Pacte ONU II (RS 0.103.2)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ATF 145 IV 154 consid. 1.1). Déterminer ce qu'une personne a su, voulu, envisagé ou accepté relève du contenu de la pensée, à savoir de "faits internes" qui, en tant que tels, lient le Tribunal fédéral conformément à l' art. 105 al. 1 LTF , à moins qu'ils aient été retenus de manière arbitraire ( ATF 147 IV 439 consid. 7.3.1 p. 448; ATF 141 IV 369 consid. 6.3 p. 375).</w:t>
      </w:r>
    </w:p>
    <w:p>
      <w:r>
        <w:rPr>
          <w:b/>
        </w:rPr>
        <w:t>E. 2.3</w:t>
      </w:r>
    </w:p>
    <w:p>
      <w:r>
        <w:t>Aux termes de l' art. 173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L'inculpé n'encourra aucune peine s'il prouve que les allégations qu'il a articulées ou propagées sont conformes à la vérité ou qu'il avait des BGE 148 IV 409 S. 414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 ATF 137 IV 313 consid. 2.1.1; ATF 132 IV 112 consid. 2.1).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et les références citées).</w:t>
      </w:r>
    </w:p>
    <w:p>
      <w:r>
        <w:rPr>
          <w:b/>
        </w:rPr>
        <w:t>E. 2.3.1</w:t>
      </w:r>
    </w:p>
    <w:p>
      <w:r>
        <w:t>Dans l'arrêt 6B_127/2019 du 9 septembre 2019 - qui avait été rendu dans la présente affaire ensuite du recours de l'intimé contre le refus initial des instances cantonales d'entrer en matière sur sa plainte et dont un extrait des considérants est publié aux ATF 145 IV 462 -, le Tribunal fédéral a rappelé que, pour qu'il y ait diffamation ou calomnie, il était nécessaire que l'auteur s'adresse à un tiers, soit à toute personne autre que l'auteur et l'objet des propos qui portent atteinte à l'honneur (cf. consid. 4.3.3 in initio). Il a de même été jugé, après un exposé de la jurisprudence rendue en la matière, que l'avocat revêtait en principe le statut de tiers au sens des art. 173 ch. 1 et 174 ch. 1 CP , le client de l'avocat ne pouvant en particulier pas se prévaloir de la seule qualité de "confident nécessaire" de celui-ci pour échapper à toute poursuite en raison de déclarations attentatoires à l'honneur qu'il aurait tenues à son avocat en évoquant par exemple une partie adverse (cf. ATF 145 IV 462 consid. 4.3.3 et 4.3.4). Ainsi, s'agissant du cas d'espèce, il était relevé qu'en l'état, au regard des termes du courrier du 8 août 2017 et dans l'ignorance totale - faute de toute instruction - des propos échangés entre le recourant et son BGE 148 IV 409 S. 415 avocat, il n'était de loin pas possible d'exclure tout soupçon de commission par le premier nommé d'un délit contre l'honneur visant l'intimé. Dans ces conditions, la confirmation de la décision de non-entrée en matière violait l' art. 310 CPP (cf. ATF 145 IV 462 consid. 4.3.5).</w:t>
      </w:r>
    </w:p>
    <w:p>
      <w:r>
        <w:rPr>
          <w:b/>
        </w:rPr>
        <w:t>E. 2.3.2</w:t>
      </w:r>
    </w:p>
    <w:p>
      <w:r>
        <w:t>Cela étant, les considérants de l'arrêt mentionné ci-avant rappellent également, sans remettre en cause cet aspect, qu'au moment d'apprécier si une déclaration est attentatoire à l'honneur, le juge doit procéder à une interprétation objective selon le sens que le tiers destinataire et non prévenu devait, dans les circonstances d'espèce, lui attribuer ( ATF 145 IV 462 précité consid. 4.2.3; cf. également ATF 137 IV 313 consid. 2.1.3; arrêt 6B_150/2021 du 11 janvier 2022 consid. 1.3). Aussi, il est constant qu'en matière d'infractions contre l'honneur, les mêmes termes n'ont pas nécessairement la même portée suivant le contexte dans lequel ils sont employés ( ATF 145 IV 462 précité consid. 4.2.3; ATF 118 IV 248 consid. 2b; ATF 105 IV 196 consid. 2; arrêt 6B_458/2021 du 3 mars 2022 consid. 5.1). Un texte doit ainsi être analysé non seulement en fonction des expressions utilisées, prises séparément, mais aussi selon le sens général qui se dégage du texte dans son ensemble ( ATF 137 IV 313 consid. 2.1.3). Déterminer le contenu d'un message relève des constatations de fait. Le sens qu'un destinataire non prévenu confère aux expressions et images utilisées constitue en revanche une question de droit ( ATF 145 IV 462 consid. 4.2.3; ATF 137 IV 313 consid. 2.1.3). On relèvera ainsi à titre illustratif que, dans le débat politique, l'atteinte à l'honneur punissable ne doit être admise qu'avec retenue et, en cas de doute, niée. Dans ce cadre, la liberté d'expression indispensable à la démocratie implique en effet que les acteurs de la lutte politique acceptent de s'exposer à une critique publique, parfois même violente, de leurs opinions. La critique ou l'attaque porte en revanche atteinte à l'honneur protégé par le droit pénal si, sur le fond ou dans la forme, elle ne se limite pas à rabaisser les qualités de l'homme ou de la femme politique et la valeur de son action, mais est également propre à l'exposer au mépris en tant qu'être humain ( ATF 137 IV 313 consid. 2.1.4; ATF 128 IV 53 consid. 1a; également ATF 131 IV 23 consid. 2.1; arrêt 6B_938/2017 du 2 juillet 2018 consid. 5.2).</w:t>
      </w:r>
    </w:p>
    <w:p>
      <w:r>
        <w:rPr>
          <w:b/>
        </w:rPr>
        <w:t>E. 2.3.3</w:t>
      </w:r>
    </w:p>
    <w:p>
      <w:r>
        <w:t>De la même manière, il ne saurait être fait abstraction du contexte particulier dans lequel s'inscrit un entretien entre un avocat et son client. Il faut en effet prendre en considération que, par la nature de ses activités de conseil juridique ainsi que par le secret professionnel BGE 148 IV 409 S. 416 auquel il est soumis (cf. art. 13 de la loi fédérale du 23 juin 2000 sur la libre circulation des avocats [LLCA; RS 935.61]), l'avocat assure à son client un climat de confiance qui leur permet de communiquer d'une manière libre et spontanée, le client pouvant ainsi se livrer en faisant part de sa version des faits, mais également de ses émotions, de son ressenti et de ses opinions. Le client est d'ailleurs bien souvent en conflit avec la personne objet des déclarations litigieuses et se trouve alors animé par une certaine passion. Il en découle que les paroles tenues peuvent parfois dépasser sa pensée, tout comme une forme d'exagération est à cet égard prévisible, ce dont l'avocat, destinataire des propos en cause, est parfaitement conscient (cf. sur ces aspects: BOHNET/MELCARNE, Le client peut-il diffamer en se confiant à son avocat?, RSJ 11/2020 p. 369). Au vu du cadre particulier décrit ci-avant, le sens de propos tenus à un avocat ne saurait dès lors être apprécié de la même manière que celui de déclarations exprimées à l'égard de n'importe quel autre tiers. Aussi, afin de ne pas compromettre l'exercice d'une communication libre et spontanée entre avocat et client, il se justifie, dans un tel contexte, de n'admettre une atteinte à l'honneur qu'avec retenue. Tel peut en particulier être le cas lorsque les propos en cause n'ont pas de lien avec l'affaire dans laquelle intervient l'avocat et que ceux-ci ne tendent en définitive qu'à exposer la personne visée au mépris (cf. en ce sens: arrêt 6B_229/2016 du 8 juin 2016 consid. 1.3; BOHNET/ MELCARNE, op. cit., p. 370).</w:t>
      </w:r>
    </w:p>
    <w:p>
      <w:r>
        <w:rPr>
          <w:b/>
        </w:rPr>
        <w:t>E. 2.4</w:t>
      </w:r>
    </w:p>
    <w:p>
      <w:r>
        <w:t>Dans son raisonnement, la cour cantonale a pris en considération le fait que, lors de leur entretien, le recourant et l'avocat avaient nécessairement parlé de l'objet de l'intervention requise de l'homme de loi, laquelle consistait en la rédaction et l'envoi d'une mise en demeure à l'adresse de l'intimé, visant la réparation du préjudice subi par le recourant dans le contexte de la livraison d'un catamaran inachevé. Dans ce cadre, il avait aussi forcément été question des motifs qui permettraient d'émettre une telle prétention.</w:t>
      </w:r>
    </w:p>
    <w:p>
      <w:r>
        <w:rPr>
          <w:b/>
        </w:rPr>
        <w:t>E. 2.5</w:t>
      </w:r>
    </w:p>
    <w:p>
      <w:r>
        <w:t>Pour autant, l'instruction n'a pas permis d'établir la teneur et le contenu précis des propos effectivement utilisés par le recourant au moment d'évoquer l'intimé et le litige les opposant. Ainsi, dans la mesure où la cour cantonale fonde son raisonnement sur la teneur de la lettre du 8 août 2017, il est observé que celle-ci use de diverses réserves ("s'il était avéré", "on doit dès lors craindre que", emploi du conditionnel) quant aux comportements pénalement répréhensibles que l'intimé aurait adopté à l'égard du recourant. BGE 148 IV 409 S. 417 De surcroît, la cour cantonale a tenu pour plausible que l'intervention de l'avocat C. avait été initialement mise en oeuvre par des associés français de son étude internationale, disposant notamment d'une antenne à V. (France), que le recourant avait préalablement consultés. A défaut de plus amples éléments ressortant de l'instruction, il est dès lors envisageable que l'avocat ait pu recevoir d'eux des informations ou des pièces du dossier, non évoquées lors de l'entretien avec le recourant, dont l'avocat se serait néanmoins servi lors de la rédaction du courrier.</w:t>
      </w:r>
    </w:p>
    <w:p>
      <w:r>
        <w:rPr>
          <w:b/>
        </w:rPr>
        <w:t>E. 2.6</w:t>
      </w:r>
    </w:p>
    <w:p>
      <w:r>
        <w:t>En toute hypothèse, quand bien même il pouvait être retenu qu'à l'occasion de l'entretien, le recourant avait fait état, de manière affirmative et non étayée, de comportements de l'intimé susceptibles d'être réprimés par le droit pénal, la cour cantonale n'a pas pris en considération, dans son raisonnement, que ces propos avaient été tenus dans le cadre particulier d'une conversation entre un avocat et son client. Il ressort ainsi de l'arrêt attaqué qu'à cette période, la problématique du catamaran était alors devenue aiguë pour le recourant, ce dernier ayant considéré, dès le printemps 2017, qu'il n'avait reçu qu'une coquille inachevée, alors que la débâcle de F. semblait inéluctable, E. lui ayant annoncé sa prochaine liquidation dans un courriel du 26 mai 2017. Il s'était par la suite acquitté du montant du 125'000 EUR dès lors qu'il ne voyait pas d'alternative pour obtenir la livraison de son bateau, s'étant ainsi senti contraint, ce qui n'avait pu qu'accentuer son ressentiment. A la fin juillet 2017, la détermination du recourant à agir était forte, puisqu'il venait d'assigner F. devant la justice civile, en France.</w:t>
      </w:r>
    </w:p>
    <w:p>
      <w:r>
        <w:rPr>
          <w:b/>
        </w:rPr>
        <w:t>E. 2.7</w:t>
      </w:r>
    </w:p>
    <w:p>
      <w:r>
        <w:t>Dans ces conditions, il est concevable qu'au moment de relater à son conseil les tenants et aboutissants de son différend avec l'intimé, le recourant, pris d'agacement, avait exposé une version des faits empreinte d'exagération, qu'il tenait lui-même pour guère plausible. Il ne saurait néanmoins lui être reproché de l'avoir évoquée oralement à son conseil au moment précis de l'entretien, les actes reprochés à l'intimé étant bien intervenus dans le contexte de son litige avec F., avec laquelle l'intimé était à tout le moins lié par sa qualité d'investisseur. Aussi, les réserves émises par l'avocat dans le courrier du 8 août 2017, adressé au seul intimé, dénotent que l'avocat avait bien conscience de l'éventualité que les propos tenus par le recourant ne correspondaient BGE 148 IV 409 S. 418 pas nécessairement à la réalité et qu'ils pourraient avoir été guidés par la rancoeur de son client. De même, s'il est établi qu'à cette période, le recourant avait déjà désigné l'intimé par les termes "[d']escroc" et de "voleur" lors de conversations avec E. (cf. consid. 4 non publié) et qu'il est donc susceptible d'en avoir également fait usage lors de l'entretien avec son avocat, la possible évocation de ces termes, dans une telle configuration, ne suffit encore pas à consacrer une atteinte à l'honneur.</w:t>
      </w:r>
    </w:p>
    <w:p>
      <w:r>
        <w:rPr>
          <w:b/>
        </w:rPr>
        <w:t>E. 2.8</w:t>
      </w:r>
    </w:p>
    <w:p>
      <w:r>
        <w:t>Au regard de ce qui précède, il apparaît que les éléments constitutifs d'une diffamation ne sont pas réunis, les propos tenus à l'avocat C. par le recourant, pris dans le contexte de son litige avec F., n'étant pas attentatoires à l'honneur de l'intimé. La condamnation du recourant en raison de cette infraction est donc contraire au droit fédéral. Le recours doit être admis sur ce point.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