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30</w:t>
      </w:r>
    </w:p>
    <w:p>
      <w:r>
        <w:t>Bundesgericht (BGE), 2021-08-23, DE</w:t>
      </w:r>
    </w:p>
    <w:p>
      <w:r>
        <w:rPr>
          <w:b/>
        </w:rPr>
        <w:t xml:space="preserve">Quelle: </w:t>
      </w:r>
      <w:r>
        <w:t>https://mcp.opencaselaw.ch/entscheid/bge_BGE_148_IV_30</w:t>
      </w:r>
    </w:p>
    <w:p>
      <w:r>
        <w:t>FR: ATF 148 IV 30</w:t>
      </w:r>
    </w:p>
    <w:p>
      <w:r>
        <w:t>IT: DTF 148 IV 30</w:t>
      </w:r>
    </w:p>
    <w:p>
      <w:pPr>
        <w:pStyle w:val="Heading2"/>
      </w:pPr>
      <w:r>
        <w:t>Regeste</w:t>
      </w:r>
    </w:p>
    <w:p>
      <w:r>
        <w:t>Regeste § 229 aZPO/LU; § 20 UeStG/LU, Art. 258 ZPO, Art. 1 SVG, Art. 1 Abs. 2 VRV; allgemeines bzw. gerichtliches Verbot; öffentliche Strasse. Im Rahmen des Strafverfahrens wegen kantonaler Übertretung eines allgemeinen bzw. gerichtlichen Verbots kann man sich grundsätzlich darauf berufen, das Verbot sei nicht zulässig (E. 1.3). Der Charakter als öffentliche Strasse im Sinne des Strassenverkehrsrechts hängt von ihrer tatsächlichen Benutzung ab und nicht davon, ob sie in privatem oder öffentlichem Eigentum steht (E. 1.4.2). Der Begriff der öffentlichen Strasse i.S.v. Art. 1 SVG i.V.m. Art. 1 Abs. 2 VRV ist weiter als der Begriff der öffentlichen Sache im Gemeingebrauch nach öffentlich-sachenrechtlicher Terminologie. Ist ein Areal im fraglichen Zeitpunkt eine öffentliche Strasse im Sinne des Strassenverkehrsrechts, beurteilt sich das Verhalten der Motorfahrzeugführerin, wie beispielsweise das Überschreiten der zulässigen Parkzeit, nach dem SVG und dessen Ausführungsbestimmungen, weshalb eine Bestrafung wegen kantonaler Übertretung eines allgemeinen bzw. gerichtlichen Verbots nicht zulässig ist (E. 1.5).</w:t>
      </w:r>
    </w:p>
    <w:p>
      <w:r>
        <w:t>Regeste § 229 aCPC/LU; § 20 LContr/LU, art. 258 CPC, art. 1 LCR, art. 1 al. 2 OCR; interdiction générale resp. judiciaire; route publique. Dans le cadre d'une procédure pénale pour contravention cantonale à une interdiction générale ou judiciaire, l'on peut en principe se prévaloir de l'inadmissibilité de l'interdiction (consid. 1.3). Le caractère de route publique au sens du droit de la circulation routière dépend de son utilisation effective et non du fait qu'elle relève de la propriété privée ou publique (consid. 1.4.2). La notion de route publique au sens de l'art. 1 LCR en lien avec l'art. 1 al. 2 OCR est plus large que la notion de domaine public à usage commun selon la terminologie du droit public. Si une aire est une route publique au sens du droit de la circulation routière au moment déterminant, le comportement de la conductrice du véhicule à moteur, consistant par exemple à dépasser le temps de stationnement autorisé, est jugé selon la LCR et ses dispositions d'exécution, raison pour laquelle une condamnation pour contravention cantonale à une interdiction générale ou judiciaire n'est pas admissible (consid. 1.5).</w:t>
      </w:r>
    </w:p>
    <w:p>
      <w:r>
        <w:t>Regesto § 229 vCPC/LU; § 20 LContr/LU, art. 258 CPC, art. 1 LCStr, art. 1 cpv. 2 ONC; divieto generale rispettivamente giudiziale; strada pubblica. Nell'ambito di un procedimento penale per contravvenzione di diritto cantonale a un divieto generale rispettivamente giudiziale è in linea di principio possibile avvalersi dell'inammissibilità del divieto (consid. 1.3). Il carattere di strada pubblica secondo il diritto della circolazione stradale dipende dal suo effettivo utilizzo e non dal fatto che la strada sia di proprietà privata o pubblica (consid. 1.4.2). La nozione di strada pubblica giusta l'art. 1 LCStr unitamente all'art. 1 cpv. 2 ONC è più vasta di quella di dominio pubblico di uso comune secondo la terminologia del diritto del demanio pubblico. Se un'area costituisce, al momento determinante, una strada pubblica ai sensi del diritto della circolazione stradale, il comportamento della conducente di un veicolo a motore, come ad esempio il superamento della durata di parcheggio autorizzata, dev'essere giudicato sulla base della LCStr e delle relative disposizioni esecutive, motivo per cui non è ammissibile una condanna per contravvenzione di diritto cantonale a un divieto generale rispettivamente giudiziale (consid. 1.5).</w:t>
      </w:r>
    </w:p>
    <w:p>
      <w:pPr>
        <w:pStyle w:val="Heading2"/>
      </w:pPr>
      <w:r>
        <w:t>Erwägungen</w:t>
      </w:r>
    </w:p>
    <w:p>
      <w:r>
        <w:rPr>
          <w:b/>
        </w:rPr>
        <w:t>E. 1</w:t>
      </w:r>
    </w:p>
    <w:p>
      <w:r>
        <w:t>(...)</w:t>
      </w:r>
    </w:p>
    <w:p>
      <w:r>
        <w:rPr>
          <w:b/>
        </w:rPr>
        <w:t>E. 1.3.1</w:t>
      </w:r>
    </w:p>
    <w:p>
      <w:r>
        <w:t>Eine Strafe oder Massnahme darf nur wegen einer Tat verhängt werden, die das Gesetz ausdrücklich unter Strafe stellt ( Art. 1 StGB ). Der Grundsatz der Legalität ("nulla poena sine lege") ist ebenfalls in Art. 7 EMRK ausdrücklich verankert.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Der Grundsatz gilt für das gesamte Strafrecht, mithin auch für das kantonale Übertretungsstrafrecht ( BGE 138 IV 13 E. 4.1; BGE 118 Ia 137 E. 1c; BGE 112 Ia 107 E. 3a; je mit Hinweisen). Die Verurteilung der Beschwerdeführerin wegen der Übertretung eines allgemeinen Verbots im Sinne von § 229 des Gesetzes des Kantons Luzern vom 27. Juni 1994 über die Zivilprozessordnung (aZPO/LU; SRL Nr. 260a; in Kraft bis am 31. Dezember 2010) erfolgte gestützt auf § 20 UeStG/LU. Gemäss § 229 aZPO/LU (Allgemeine Verbote) entscheidet der Richter im summarischen Verfahren über Gesuche um Erlass allgemeiner Verbote, die auf die Strafandrohung nach § 20 UeStG/LU verweisen. Der Gesuchsteller hat sein dingliches Recht nachzuweisen und ein schützenswertes Interesse glaubhaft zu machen. Nach § 314 aZPO/LU erlöschen allgemeine Verbote, die über 30 Jahre alt sind, wenn sie nicht innert BGE 148 IV 30 S. 34 zweier Jahre seit Inkrafttreten des Gesetzes erneuert werden. Wer allgemeine Verbote übertritt, die gestützt auf die Zivilprozessordnung unter Hinweis auf diese Strafandrohung erlassen worden sind, wird, auf Antrag, mit Busse bestraft (§ 20 UeStG/LU). Die am 1. Januar 2011 in Kraft getretene Schweizerische Zivilprozessordnung vom 19. Dezember 2008 (ZPO) kennt in Art. 258 ebenfalls ein gerichtliches Verbot, das den Schutz des an einem Grundstück dinglich Berechtigten vor Besitzesstörung bezweckt.</w:t>
      </w:r>
    </w:p>
    <w:p>
      <w:r>
        <w:rPr>
          <w:b/>
        </w:rPr>
        <w:t>E. 1.3.2</w:t>
      </w:r>
    </w:p>
    <w:p>
      <w:r>
        <w:t>Nach der Rechtsprechung des Bundesgerichts kann der Strafrichter den Erlass eines gerichtlichen Verbots im Rahmen eines Strafverfahrens wegen Missachtung desselben zwar auf seine Rechtmässigkeit hin überprüfen ( BGE 141 III 195 E. 2.2; Urteil 6B_814/2015 vom 30. November 2015 E. 1.4.3; je mit Hinweis). Der Entscheid der Strafbehörde über die zivilrechtliche Vorfrage kann jedoch lediglich im konkreten Einzelfall die Strafbarkeit der Übertretung des gerichtlichen Verbots ausschliessen. Auf den zivilrechtlichen Bestand des Verbots hat er keinen Einfluss (Urteil 6B_814/2015 vom 30. November 2015 E. 1.4.3 mit Hinweisen; gl.M. INGRID JENT-SØRENSEN, in: ZPO, Oberhammer und andere [Hrsg.], 2. Aufl. 2014, N. 10 zu Art. 258-260 ZPO ; TARKAN GÖKSU, in: Kommentar zur Schweizerischen Zivilprozessordnung [ZPO], Sutter-Somm und andere [Hrsg.], 3. Aufl. 2016, N. 9 f. zu Art. 260 ZPO ; TENCHIO/TENCHIO, in: Basler Kommentar, Schweizerische Zivilprozessordnung, 3. Aufl. 2017, N. 2 zu Art. 258 ZPO und N. 11 zu Art. 260 ZPO ). Im Rahmen des Strafverfahrens wegen Übertretung des allgemeinen Verbots kann sich die Beschwerdeführerin somit grundsätzlich darauf berufen, das Verbot sei nicht zulässig. Ist das vorliegende Verbot nicht zulässig, führt das dazu, dass kein Schuldspruch wegen Widerhandlung gegen § 20 UeStG/LU ergehen kann (vgl. BGE 141 III 195 E. 2.7). Vorab ist allerdings festzuhalten, dass die Beschwerdeführerin nicht gebüsst wurde, weil sie auf dem fraglichen Areal werktags zwischen 6 Uhr und 17 Uhr parkiert hat, sondern weil sie für die Zeit von 19.51 Uhr bis 20.19 Uhr keine Parkgebühr entrichtet hat. Somit wird ihr lediglich vorgeworfen, sie habe die bezahlte (und somit die zulässige Parkzeit) überschritten. Als Vorfrage ist daher vorliegend nicht die Rechtmässigkeit des werktags zwischen 6 Uhr und 17 Uhr geltenden Fahr-, Abstell- und Parkverbots des gerichtlichen (allgemeinen) Verbots zu prüfen. Vielmehr stellt sich die Frage, wie es BGE 148 IV 30 S. 35 sich mit dem zugleich eingeführten, entgeltlichen, an den Randzeiten geltenden Parkierungsregime verhält, d.h. ob es zwingend auf öffentlich-rechtlichem Weg hätte angeordnet werden müssen.</w:t>
      </w:r>
    </w:p>
    <w:p>
      <w:r>
        <w:rPr>
          <w:b/>
        </w:rPr>
        <w:t>E. 1.4.1</w:t>
      </w:r>
    </w:p>
    <w:p>
      <w:r>
        <w:t>Das gerichtliche Verbot stellt eine besondere Form des strafrechtlichen Schutzes von Grundeigentum dar, der zum zivilrechtlichen Besitzesschutz nach Art. 928 ff. ZGB hinzutritt (sog. strafrechtlicher Besitzesschutz; TENCHIO/TENCHIO, a.a.O., N. 1 zu Art. 258 ZPO ). Das Verbot richtet sich im Allgemeinen an einen offenen/ unbestimmten Adressatenkreis ("jedermann"). Ausnahmen können indessen zugelassen werden: so kann z.B. ein allgemeines Verbot die Bewohner einer bestimmten Liegenschaft, Mieter privater Parkplätze oder Besucher von einem Verbot ausnehmen oder aber sich auf eine bestimmte Personengruppe beschränken (TENCHIO/TENCHIO, a.a.O., N. 2 f. zu Art. 258 ZPO ). Das Verbot kann jede denkbare, übermässige Störung untersagen, z.B. "Betreten mit Hunden verboten", "Rauchen verboten", "Parkverbot" oder "Fussballspielen verboten". Dient das Verbot nicht dem Schutz des Besitzes (namentlich der Unterbindung rechtlich relevanter Störungen der Sachherrschaft), sondern dem Schutz der Besitzer und Nutzer einer Liegenschaft (wie z.B. für den Schutz von Handlungen, die andere Mieter stören), ist das Gesuch abzulehnen, zumal diesen Störungen auch mit einer Benutzerordnung Abhilfe geschaffen werden kann. Der Angriff auf andere Rechtsgüter als die tatsächlich bestehenden Herrschaftsverhältnisse über eine Sache kann mit Art. 258 ZPO nicht abgewehrt werden. Eigentliche Benutzerordnungen sind damit untersagt (TENCHIO/TENCHIO, a.a.O., N. 4 zu Art. 258 ZPO ; vgl. auch ZR 98/ 1999 S. 207 E. 1a f.). Möglich ist, dass bestimmte Personengruppen vom Verbot ausgenommen werden (z.B. die Bewohner einer bestimmten Liegenschaft oder Mieter privater Parkplätze) (GÖKSU, a.a.O., N. 20 zu Art. 258 ZPO ; TENCHIO/TENCHIO, a.a.O., N. 3 zu Art. 258 ZPO ; je mit Hinweis). Ein gerichtliches Verbot kann auch örtlich auf nur einen Teil des betroffenen Grundstücks oder zeitlich beschränkt sein, z.B. "Parkieren zwischen 07.00-19.00 Uhr verboten" (RUSCH/KLAUS, Der zugeparkte Parkplatz, Jusletter 28. September 2015 S. 19). Dem Erlass eines Verbots auf einer Strasse im Privateigentum kann der Umstand entgegenstehen, dass sie öffentlich erklärt wurde (Urteil 5A_348/2012 vom 15. August 2012 E. 3.2; JENT-SØRENSEN, a.a.O., N. 4 zu Art. 258-260 ZPO ; je mit Hinweis). BGE 148 IV 30 S. 36 Öffentlich-rechtliche Körperschaften können für ihr Finanz- und Verwaltungsvermögen die Aussprechung von gerichtlichen Verboten nach Art. 258 ZPO beantragen. Im Bereich öffentlicher Sachen im Gemeingebrauch kann die öffentlich-rechtliche Körperschaft den Gemeingebrauch jedoch nicht durch ein Verbot nach Art. 258 ZPO untersagen lassen. Will sie den Gemeingebrauch aufheben oder einschränken, muss sie auf öffentlich-rechtlichem Weg vorgehen. Soll der Gemeingebrauch an öffentlichen Strassen durch sog. "funktionelle Verkehrsanordnungen" i.S.v. Art. 3 Abs. 4 SVG (etwa Parkierungsvorschriften) beschränkt werden, sind dabei die massgeblichen Vorschriften des Bundesrechts zu beachten. Das Gemeinwesen darf die öffentlich-rechtlichen Vorschriften nicht umgehen, indem es beim Zivilrichter ein Verbot erwirkt (TENCHIO/TENCHIO, a.a.O., N. 16 zu Art. 258 ZPO ; GÖKSU, a.a.O., N. 10a zu Art. 258 ZPO ; vgl. auch Urteil 6P.12/2004 vom 6. April 2004 E. 2.2 mit Hinweisen).</w:t>
      </w:r>
    </w:p>
    <w:p>
      <w:r>
        <w:rPr>
          <w:b/>
        </w:rPr>
        <w:t>E. 1.4.2</w:t>
      </w:r>
    </w:p>
    <w:p>
      <w:r>
        <w:t>Das Strassenverkehrsgesetz ordnet nach seinem Art. 1 Abs. 1 u.a. den Verkehr auf den öffentlichen Strassen. Strassen sind die von Motorfahrzeugen, motorlosen Fahrzeugen oder Fussgängern benützten Verkehrsflächen. Öffentlich sind Strassen, die nicht ausschliesslich privatem Gebrauch dienen ( Art. 1 Abs. 1 und 2 der Verkehrsregelnverordnung vom 13. November 1962 [VRV; SR 741.11] ). Der Begriff der öffentlichen Strasse muss weit ausgelegt werden. Auch Plätze, Brücken, Unterführungen usw. sind daher als Strassen anzuerkennen ( BGE 86 IV 29 E. 2; Urteile 1C_66/2019 vom 20. Mai 2019; 6B_422/2018 vom 22. Februar 2019 E. 2.1.2; 6B_1219/2016 vom 9. November 2017 E. 1.2; je mit Hinweisen). Weder ist entscheidend, ob die Strasse dem Gemeingebrauch gewidmet ist (WALDMANN/KRAEMER, in: Basler Kommentar, Strassenverkehrsgesetz, 2014, N. 19 zu Art. 1 SVG ), noch ist dabei massgebend, ob die Strasse in privatem oder öffentlichem Eigentum steht, sondern ob sie dem allgemeinen Verkehr dient. Letzteres trifft zu, wenn sie einem unbestimmbaren Personenkreis zur Verfügung steht, selbst wenn die Benutzung nach Art oder Zweck eingeschränkt ist ( BGE 104 IV 105 E. 3; BGE 101 IV 173 ; Urteile 6B_422/2018 vom 22. Februar 2019 E. 2.1.2; 6B_261/2018, 6B_283/2018 und 6B_284/2018 vom 28. Januar 2019 E. 5.2.2; 6B_1131/2018 vom 21. Januar 2019 E. 1.1; 6B_630/2015 vom 8. Februar 2016 E. 2.2; je mit Hinweisen; zum Ganzen: WALDMANN/KRAEMER, a.a.O., N. 18 f. zu Art. 1 SVG ). Der Charakter als öffentliche Strasse hängt nicht vom Willen des Eigentümers ab, sondern von ihrer tatsächlichen Benützung (Urteil BGE 148 IV 30 S. 37 6B_422/2018 vom 22. Februar 2019 E. 2.1.2 mit Hinweis). So fällt beispielsweise das Areal des Güterbahnhofs Zürich unter den Begriff der öffentlichen Strasse. Zwar ist es eingezäunt, der Durchgangsverkehr ist verboten, und der Zutritt ist allen Fahrzeugen verwehrt, die nicht Waren abzuholen oder zum Transport aufzugeben haben. Zu diesem beschränkten Zweck aber darf jeder Kunde der SBB - also ein unbestimmbarer Personenkreis - das Areal des Güterbahnhofs benützen. Das genügt, um aus dieser Verkehrsfläche eine öffentliche Strasse zu machen ( BGE 86 IV 29 E. 3). Der Grund für diesen weiten Strassenbegriff, der auch rein tatsächlich dem allgemeinen Verkehr offenstehende Strassen mitumfasst und sich insofern nicht vollumfänglich mit dem Begriff der öffentlichen Strasse im Gemeingebrauch nach öffentlich-sachenrechtlicher Terminologie deckt, liegt in der (polizeirechtlichen) Zielsetzung der Strassenverkehrsgesetzgebung, die den Schutz der öffentlichen Ordnung und Sicherheit im Strassenverkehr bezweckt und aus Gründen der Gefahrenabwehr nach einer umfassenden Geltung der diesbezüglichen Verbots- und Gebotsnormen (Verkehrsregeln) ruft (Urteile 6B_54/2010 vom 18. März 2010 E. 1.2; 6B_673/2008 vom 8. Oktober 2008 E. 1.1; 6B_87/2008 vom 31. Juli 2008 E. 2.2; je mit Hinweis). Will ein Unternehmen ein während der Arbeitszeit dem öffentlichen Verkehr offenstehendes Areal (einen "Vorplatz") nachts oder feiertags auf einen ausschliesslich privaten Gebrauch einschränken, muss dieser Wille Dritten durch ein signalisiertes Verbot oder durch eine Abschrankung kenntlich gemacht sein ( Art. 5 Abs. 1 SVG ). Fehlen solche eindeutigen Vorkehren, bleibt der öffentliche Charakter erhalten (vgl. BGE 104 IV 105 E. 3; Urteil 6B_673/2008 vom 8. Oktober 2008 E. 1.1; je mit Hinweis).</w:t>
      </w:r>
    </w:p>
    <w:p>
      <w:r>
        <w:rPr>
          <w:b/>
        </w:rPr>
        <w:t>E. 1.5</w:t>
      </w:r>
    </w:p>
    <w:p>
      <w:r>
        <w:t>Vorliegend ist unbestritten, dass der Kanton Luzern Eigentümer des fraglichen Areals ist und dass es zu Randzeiten einem unbestimmbaren Personenkreis zur Benutzung offen steht. Bei der besagten Verkehrsfläche handelt es sich daher - zumindest an den Randzeiten - um eine öffentliche Strasse i.S.v. Art. 1 SVG i.V.m. Art. 1 Abs. 2 VRV . Aufgrund der Freigabe dieser Parkplätze (zu den Randzeiten) für einen unbestimmten Benutzerkreis bestehen sodann gerade keine eindeutigen Vorkehren, das Areal auf einen ausschliesslich privaten Gebrauch einzuschränken, weshalb der öffentliche Charakter des Areals - zu den Randzeiten gemäss der angebrachten Tafel - ausser Frage steht. Wie es sich diesbezüglich BGE 148 IV 30 S. 38 zu den anderen Zeiten, d.h. werktags von 6 Uhr bis 17 Uhr, verhält, braucht hier nicht vertieft zu werden, denn das der Beschwerdeführerin angelastete Verhalten fand zu einer Randzeit statt und besteht in der Überschreitung der bezahlten Parkzeit und nicht in einem Verstoss gegen das Fahr-, Abstell- und Parkverbot per se (E. 1.3.2). Insofern erweist sich das Vorbringen der Vorinstanz in ihrer Vernehmlassung, wonach gegen das amtliche Verbot verstosse, wer während den gesperrten Zeiten oder ohne Entrichtung der Parkgebühr sein Fahrzeug auf dem Privatareal abstelle, als unbehelflich. Weil das fragliche Areal an den Randzeiten dem allgemeinen Verkehr dient und es sich dabei um eine öffentliche Strasse i.S.v. Art. 1 SVG i.V.m. Art. 1 Abs. 2 VRV handelt, muss vorliegend ebensowenig geprüft werden, ob es als öffentliche Sache im Gemeingebrauch, als Finanz- oder Verwaltungsvermögen zu qualifizieren ist oder ob es als dem Gemeingebrauch gewidmet zu gelten hat. Der Charakter als öffentliche Strasse im Sinne des Strassenverkehrsrechts hängt von ihrer tatsächlichen Benutzung ab und nicht davon, ob sie in privatem oder öffentlichem Eigentum steht. Mithin ist der Begriff der öffentlichen Strasse i.S.v. Art. 1 SVG i.V.m. Art. 1 Abs. 2 VRV weiter als der Begriff der öffentlichen Strasse im Gemeingebrauch nach öffentlich-sachenrechtlicher Terminologie. Ist das besagte Areal im fraglichen Zeitpunkt eine öffentliche Strase im Sinne des Strassenverkehrsrechts, ist das Verhalten der Beschwerdeführerin als Motorfahrzeugführerin gemäss Art. 1 SVG nach den Vorschriften dieses Gesetzes und dessen Ausführungsbestimmungen zu beurteilen (vgl. BGE 104 IV 105 E. 3; Urteil 6B_422/ 2018 vom 22. Februar 2019 E. 2.1.3; ADRIAN HAAS, Staats- und verwaltungsrechtliche Probleme bei der Regelung des Parkierens von Motorfahrzeugen auf öffentlichem und privatem Grund, insbesondere im Kanton Bern, 1994, S. 31, 99 und 150), weshalb die Bestrafung der Beschwerdeführerin wegen der Übertretung eines allgemeinen Verbots im Sinne von § 20 UeStG nicht zulässig ist. Sie ist vom Vorwurf der Widerhandlung gegen ein gerichtliches Verbot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