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22</w:t>
      </w:r>
    </w:p>
    <w:p>
      <w:r>
        <w:t>Bundesgericht (BGE), 2022-01-12, DE</w:t>
      </w:r>
    </w:p>
    <w:p>
      <w:r>
        <w:rPr>
          <w:b/>
        </w:rPr>
        <w:t xml:space="preserve">Quelle: </w:t>
      </w:r>
      <w:r>
        <w:t>https://mcp.opencaselaw.ch/entscheid/bge_BGE_148_IV_22</w:t>
      </w:r>
    </w:p>
    <w:p>
      <w:r>
        <w:t>FR: ATF 148 IV 22</w:t>
      </w:r>
    </w:p>
    <w:p>
      <w:r>
        <w:t>IT: DTF 148 IV 22</w:t>
      </w:r>
    </w:p>
    <w:p>
      <w:pPr>
        <w:pStyle w:val="Heading2"/>
      </w:pPr>
      <w:r>
        <w:t>Regeste</w:t>
      </w:r>
    </w:p>
    <w:p>
      <w:r>
        <w:t>Regeste Art. 184 Abs. 3 StPO; Gehörsanspruch betreffend sachverständige Person und Gutachterfragen; Verzicht. Der aus Art. 184 Abs. 3 Satz 1 StPO fliessende Anspruch, sich zur sachverständigen Person und zu den Gutachterfragen zu äussern, besteht auch bei der Ernennung amtlicher Sachverständiger i.S.v. Art. 183 Abs. 2 StPO (E. 5.4). Art. 184 Abs. 3 Satz 1 StPO konkretisiert den Anspruch der Parteien auf rechtliches Gehör. Eine Verletzung dieses Anspruchs kann durch die nachträgliche Gewährung von Akteneinsicht in den Gutachterauftrag und das Gutachten geheilt werden. Bringt die beschuldigte Person nach Einsicht in den Gutachterauftrag und das Gutachten keine Ausstandsgründe oder Anmerkungen zu den Gutachterfragen resp. Ergänzungsfragen vor, ist von einem Verzicht auf eine Stellungnahme zur sachverständigen Person und den Gutachterfragen auszugehen (E. 5.5.2).</w:t>
      </w:r>
    </w:p>
    <w:p>
      <w:r>
        <w:t>Regeste Art. 184 al. 3 CPP; droit d'être entendu concernant le choix de l'expert et les questions qui lui sont posées; renonciation. Le droit, découlant de l'art. 184 al. 3, 1 re phrase, CPP, de s'exprimer sur le choix de l'expert et sur les questions qui lui sont posées existe aussi en cas de recours à un expert officiel au sens de l'art. 183 al. 2 CPP (consid. 5.4). L'art. 184 al. 3, 1 re phrase, CPP concrétise le droit d'être entendu des parties. Une violation de ce droit peut être guérie en garantissant ultérieurement l'accès au mandat et au rapport d'expertise. Si, après avoir eu accès à ces éléments, le prévenu ne fait valoir aucun motif de récusation et ne formule aucune remarque, respectivement ne pose aucune question complémentaire, on peut considérer que le prévenu a renoncé à prendre position au sujet de la personne de l'expert ou au sujet des questions soumises à ce dernier (consid. 5.5.2).</w:t>
      </w:r>
    </w:p>
    <w:p>
      <w:r>
        <w:t>Regesto Art. 184 cpv. 3 CPP; diritto di essere sentito in merito al perito e ai quesiti peritali; rinuncia. Il diritto di esprimersi in merito al perito e ai quesiti peritali, sancito dall'art. 184 cpv. 3 primo periodo CPP, sussiste anche qualora si faccia capo a un perito ufficiale ai sensi dell'art. 183 cpv. 2 CPP (consid. 5.4). L'art. 184 cpv. 3 primo periodo CPP concretizza il diritto di essere sentito delle parti. La sua violazione può essere sanata accordando a posteriori la possibilità di consultare il mandato peritale e la perizia. Se, dopo averli visionati, l'imputato non solleva alcun motivo di ricusazione né formula osservazioni sui quesiti peritali, rispettivamente domande complementari, si deve ritenere che abbia rinunciato a esprimersi in merito al perito e ai quesiti peritali (consid. 5.5.2).</w:t>
      </w:r>
    </w:p>
    <w:p>
      <w:pPr>
        <w:pStyle w:val="Heading2"/>
      </w:pPr>
      <w:r>
        <w:t>Erwägungen</w:t>
      </w:r>
    </w:p>
    <w:p>
      <w:r>
        <w:rPr>
          <w:b/>
        </w:rPr>
        <w:t>E. 5.1</w:t>
      </w:r>
    </w:p>
    <w:p>
      <w:r>
        <w:t>Im Zusammenhang mit dem Anklagesachverhalt 1.2.1 "O. AG Tankstellenshop Bronschhofen" bringt der Beschwerdeführer vor, der forensische Untersuchungsbericht "Raub - Waffenbestimmung und Munitionsvergleich" der Kantonspolizei St. Gallen vom 21. Februar 2014, anhand dessen die am fraglichen Abend verwendete Waffe bestimmt wurde, sei mangels Einhaltung der Formvorschriften für Gutachten gemäss Art. 182 ff. StPO nicht verwertbar. Insbesondere sei sein aus Art. 184 Abs. 3 StPO fliessender Anspruch, sich vorgängig zum Sachverständigen und den Fragen zu äussern, verletzt worden.</w:t>
      </w:r>
    </w:p>
    <w:p>
      <w:r>
        <w:rPr>
          <w:b/>
        </w:rPr>
        <w:t>E. 5.2</w:t>
      </w:r>
    </w:p>
    <w:p>
      <w:r>
        <w:t>Die Vorinstanz hält fest, es lägen diverse forensische Untersuchungsberichte der Kantonspolizei St. Gallen in den Akten, die von ständig bestellten resp. amtlichen Sachverständigen verfasst worden seien. Auch wenn diese Berichte keine Hinweise auf die Straffolgen eines falschen Gutachtens enthalten würden, seien sie verwertbar, da Art. 184 Abs. 2 lit. f StPO nach der Rechtsprechung des Bundesgerichts keine Gültigkeits-, sondern lediglich eine Ordnungsvorschrift darstelle.</w:t>
      </w:r>
    </w:p>
    <w:p>
      <w:r>
        <w:rPr>
          <w:b/>
        </w:rPr>
        <w:t>E. 5.3</w:t>
      </w:r>
    </w:p>
    <w:p>
      <w:r>
        <w:t>Gemäss Art. 182 StPO ziehen die Staatsanwaltschaft und die Gerichte eine oder mehrere sachverständige Personen bei, wenn sie nicht über die besonderen Kenntnisse und Fähigkeiten verfügen, die zur Feststellung oder Beurteilung eines Sachverhalts erforderlich sind. Als Sachverständige können natürliche Personen ernannt werden, die auf dem betreffenden Fachgebiet die erforderlichen BGE 148 IV 22 S. 27 besonderen Kenntnisse und Fähigkeiten besitzen ( Art. 183 Abs. 1 StPO ). Bund und Kantone können für bestimmte Gebiete dauernd bestellte oder amtliche Sachverständige vorsehen ( Art. 183 Abs. 2 StPO ). Die Verfahrensleitung ernennt die sachverständige Person ( Art. 184 Abs. 1 StPO ). Sie erteilt ihr einen schriftlichen Auftrag, der unter anderem die Bezeichnung der sachverständigen Person, die präzis formulierten Fragen und den Hinweis auf die Straffolgen eines falschen Gutachtens enthält (Art. 184 Abs. 2 lit. a, c und f StPO). Nach Art. 184 Abs. 3 Satz 1 StPO gibt die Verfahrensleitung den Parteien vor der Erteilung des Gutachtensauftrags Gelegenheit, sich zur sachverständigen Person und zu den Fragen zu äussern und dazu eigene Anträge zu stellen. Sie kann bei Laboruntersuchungen davon absehen, namentlich wenn es um die Bestimmung der Blutalkoholkonzentration oder des Reinheitsgrades von Stoffen, den Nachweis von Betäubungsmitteln im Blut oder die Erstellung eines DNA-Profils geht ( Art. 184 Abs. 3 Satz 2 StPO ).</w:t>
      </w:r>
    </w:p>
    <w:p>
      <w:r>
        <w:rPr>
          <w:b/>
        </w:rPr>
        <w:t>E. 5.4</w:t>
      </w:r>
    </w:p>
    <w:p>
      <w:r>
        <w:t>Im Untersuchungsbericht der Kantonspolizei St. Gallen, Abteilung forensische Chemie und Technologie, vom 21. Februar 2014 wurden im Auftrag der Staatsanwaltschaft eine Bestimmung des vom Täter beim Raubüberfall auf den Tankstellenshop der O. AG in Bronschhofen verwendeten Waffentyps sowie ein Abgleich mit der in der Wohnung des Beschwerdeführers sichergestellten Munition vorgenommen. Die Staatsanwaltschaft verfügte offensichtlich nicht über das nötige Fachwissen, um diese Fragen ohne Beizug von Sachverständigen zu beantworten. Der fragliche Untersuchungsbericht stellt somit ein Gutachten dar, welches den formellen Anforderungen von Art. 182 ff. StPO zu genügen hat (vgl. Urteil 6B_619/2014 vom 4. November 2014 E. 1.3). Die Verfasser des Berichts sind Mitarbeiter des forensisch-naturwissenschaftlichen Dienstes der Kantonspolizei St. Gallen und damit nach Art. 40 lit. c des Einführungsgesetzes des Kantons St. Gallen vom 3. August 2010 zur Schweizerischen Straf- und Jugendstrafprozessordnung (EG-StPO/SG; sGS 962.1) amtliche Sachverständige. Die Strafprozessordnung sieht nicht vor, dass der aus Art. 184 Abs. 3 StPO fliessende Gehörsanspruch der Parteien bei amtlichen Sachverständigen entfallen würde. Folglich ist den Parteien auch vor der Einholung eines Gutachtens bei einem amtlichen Sachverständigen Gelegenheit einzuräumen, sich zu dessen Person und den Gutachterfragen vernehmen zu lassen (so auch ANDREAS DONATSCH, in: Kommentar zur Schweizerischen Strafprozessordnung StPO, 3. Aufl. 2020, N. 35 BGE 148 IV 22 S. 28 zu Art. 184 StPO ; JOËLLE VUILLE, in: Commentaire romand, Code de procédure pénale suisse, 2. Aufl. 2019, N. 18 zu Art. 184 StPO ; für die Pflicht zur Belehrung dauernd bestellter oder amtlicher Sachverständiger nach Art. 184 Abs. 2 lit. f StPO vgl. BGE 141 IV 423 E. 3.3).</w:t>
      </w:r>
    </w:p>
    <w:p>
      <w:r>
        <w:rPr>
          <w:b/>
        </w:rPr>
        <w:t>E. 5.5</w:t>
      </w:r>
    </w:p>
    <w:p>
      <w:r>
        <w:t>Die Vorinstanz äussert sich nicht dazu, ob die Auftragserteilung an den forensisch-naturwissenschaftlichen Dienst parteiöffentlich erfolgt ist oder nicht. Insofern genügt das vorinstanzliche Urteil den Anforderungen von Art. 112 Abs. 1 lit. b BGG nicht. Selbst wenn jedoch die Staatsanwaltschaft bei der Beauftragung der Sachverständigen Art. 184 Abs. 3 StPO verletzt haben sollte, hilft dies dem Beschwerdeführer, wie nachfolgend zu zeigen sein wird, nicht. Auf eine Rückweisung an die Vorinstanz kann deshalb verzichtet werden.</w:t>
      </w:r>
    </w:p>
    <w:p>
      <w:r>
        <w:rPr>
          <w:b/>
        </w:rPr>
        <w:t>E. 5.5.1</w:t>
      </w:r>
    </w:p>
    <w:p>
      <w:r>
        <w:t>Die Verwertbarkeit rechtswidrig erlangter Beweise ist in Art. 141 StPO geregelt. Für Beweise, die durch verbotene Beweiserhebungsmethoden erlangt wurden, sieht Art. 141 Abs. 1 Satz 1 StPO ein absolutes Beweisverwertungsverbot vor. Dasselbe gilt, wenn das Gesetz einen Beweis als unverwertbar bezeichnet ( Art. 141 Abs. 1 Satz 2 StPO ). Beweise, die Strafbehörden in strafbarer Weise oder unter Verletzung von Gültigkeitsvorschriften erhoben haben, dürfen nach Art. 141 Abs. 2 StPO grundsätzlich nicht verwertet werden, es sei denn, ihre Verwertung sei zur Aufklärung schwerer Straftaten unerlässlich. Beweise, bei deren Erhebung lediglich Ordnungsvorschriften verletzt wurden, sind dagegen gemäss Art. 141 Abs. 3 StPO verwertbar. Ob im Einzelfall eine Gültigkeits- oder eine Ordnungsvorschrift vorliegt, bestimmt sich (sofern das Gesetz die Norm nicht selbst als Gültigkeitsvorschrift bezeichnet) primär nach dem Schutzzweck der Norm. Hat die Verfahrensvorschrift für die Wahrung der zu schützenden Interessen der betreffenden Person eine derart erhebliche Bedeutung, dass sie ihr Ziel nur erreichen kann, wenn bei Nichtbeachtung die Verfahrenshandlung ungültig ist, liegt eine Gültigkeitsvorschrift vor ( BGE 144 IV 302 E. 3.4.3; BGE 139 IV 128 E. 1.6; Urteil 6B_256/2021 vom 17. Mai 2021 E. 1.3.1; je mit Hinweisen).</w:t>
      </w:r>
    </w:p>
    <w:p>
      <w:r>
        <w:rPr>
          <w:b/>
        </w:rPr>
        <w:t>E. 5.5.2</w:t>
      </w:r>
    </w:p>
    <w:p>
      <w:r>
        <w:t>Art. 184 Abs. 3 Satz 1 StPO konkretisiert den Anspruch der Parteien auf rechtliches Gehör nach Art. 107 Abs. 1 lit. d StPO und Art. 29 Abs. 2 BV (vgl. BGE 144 IV 69 E. 2.2 mit Hinweisen). Sein Sinn und Zweck besteht darin, dass die Parteien frühzeitig Gelegenheit erhalten sollen, allfällige Ausstandsgründe vorzubringen BGE 148 IV 22 S. 29 und bei der Umschreibung des Beweisthemas mitzuwirken. So gesehen dient die Bestimmung der Prozessökonomie (vgl. MARIANNE HEER, in: Basler Kommentar, Schweizerische Strafprozessordnung, 2. Aufl. 2014, N. 21 und 24 zu Art. 184 StPO ). Der Gehörsanspruch ist formeller Natur. Seine Verletzung führt grundsätzlich ungeachtet der materiellen Begründetheit des Rechtsmittels zur Gutheissung der Beschwerde und zur Aufhebung des angefochtenen Entscheids ( BGE 144 IV 302 E. 3.1; BGE 142 II 218 E. 2.8.1; je mit Hinweisen). Indes kann eine Verletzung des Gehörsanspruchs nach der Rechtsprechung unter Umständen nachträglich geheilt werden (im Einzelnen BGE 145 I 167 E. 4.4; BGE 142 II 218 E. 2.8.1; Urteil 6B_1012/ 2020 vom 8. April 2021 E. 1.1; je mit Hinweisen). Gemäss unangefochten gebliebenen und für das Bundesgericht nach Art. 105 Abs. 1 BGG verbindlichen Feststellungen der Vorinstanz wurde dem Beschwerdeführer am 21. März und am 14. Oktober 2014 vollständige Akteneinsicht gewährt. Spätestens zu diesem Zeitpunkt war ihm der Untersuchungsbericht vom 21. Februar 2014 mitsamt den Gutachterfragen, den Antworten und den Personen der Sachverständigen bekannt und er hätte die Möglichkeit gehabt, nachträglich Ausstandsgründe geltend zu machen oder Ergänzungsfragen zu stellen. Damit kann eine allfällige Gehörsverletzung als noch im Untersuchungsverfahren geheilt gelten. Dies gilt umso mehr, als den Parteien lediglich ein Mitspracherecht, jedoch kein Anspruch auf Bestellung eines bestimmten Sachverständigen und auf bestimmte Fragen zusteht (DONATSCH, a.a.O., N. 36 zu Art. 184 StPO ; VUILLE, a.a.O., N. 17 zu Art. 184 StPO ; SCHMID/JOSITSCH, Schweizerische Strafprozessordnung [StPO], Praxiskommentar, 3. Aufl. 2018, N. 13 zu Art. 184 StPO ; HEER, a.a.O., N. 22 und 24 zu Art. 184 StPO ) und eine etwaige Gehörsverletzung somit nicht schwer wiegen würde. Dass er die nachträgliche Äusserungsmöglichkeit genutzt und namentlich Ablehnungsgründe gegen die Experten oder Anmerkungen zu den Gutachterfragen vorgebracht hätte, bringt der Beschwerdeführer nicht vor. Vielmehr berief er sich im Berufungsverfahren, wie aus seinen Ausführungen geschlossen werden kann, erstmals auf die Unverwertbarkeit des Untersuchungsberichts, wobei er in genereller Weise das Fehlen der formellen Voraussetzungen nach Art. 182 ff. StPO beanstandete und keine konkreten Beweisanträge stellte. Vor diesem Hintergrund ist von einem Verzicht auf eine Stellungnahme zu den Sachverständigen und den an diese zu richtenden Fragen auszugehen (siehe auch BGE 144 IV 69 E. 2.5; BGE 148 IV 22 S. 30 Urteile 6B_27/2018 vom 30. Mai 2018 E. 2.3; 6B_557/2017 vom 9. Januar 2018 E. 1.2). Ähnlich wie nach der Rechtsprechung zum Konfrontationsrecht (siehe nicht publ. E. 4.2.3) kann der Beschwerdeführer den Strafbehörden daher nicht vorhalten, ihm keine Möglichkeit gegeben zu haben, sich zu den Sachverständigen und zu den Fragen zu äussern. Eine mögliche Verletzung von Art. 184 Abs. 3 StPO würde im vorliegenden Fall somit nicht zur Unverwertbarkeit des streitigen Untersuchungsberichts führen. Die entsprechende Rüge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