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511</w:t>
      </w:r>
    </w:p>
    <w:p>
      <w:r>
        <w:t>Bundesgericht (BGE), 2022-08-24, DE</w:t>
      </w:r>
    </w:p>
    <w:p>
      <w:r>
        <w:rPr>
          <w:b/>
        </w:rPr>
        <w:t xml:space="preserve">Quelle: </w:t>
      </w:r>
      <w:r>
        <w:t>https://mcp.opencaselaw.ch/entscheid/bge_BGE_148_II_511</w:t>
      </w:r>
    </w:p>
    <w:p>
      <w:r>
        <w:t>FR: ATF 148 II 511</w:t>
      </w:r>
    </w:p>
    <w:p>
      <w:r>
        <w:t>IT: DTF 148 II 511</w:t>
      </w:r>
    </w:p>
    <w:p>
      <w:pPr>
        <w:pStyle w:val="Heading2"/>
      </w:pPr>
      <w:r>
        <w:t>Regeste</w:t>
      </w:r>
    </w:p>
    <w:p>
      <w:r>
        <w:t>Regeste Art. 16c Abs. 2 lit. a und Art. 16cbis Abs. 2 SVG; Dauer eines ausländischen Fahrverbots als Obergrenze für die Dauer des schweizerischen Führerausweisentzugs. Ist die betroffene Person nicht im Informationssystem Verkehrszulassung (IVZ) eingetragen, bildet die Dauer des ausländischen Fahrverbots die Obergrenze für den Entzug des schweizerischen Führerausweises für denselben Verstoss. Von dieser Erleichterung profitieren allerdings nur eigentliche Ersttäterinnen und -täter, die keinen Massnahmeneintrag aufweisen, d.h. auch keinen Eintrag, der nicht mehr kaskadenrelevant ist. Bei Zweittäterinnen und -tätern erfolgt ein Rückgriff auf das Kaskadensystem ohne Berücksichtigung der Obergrenze, falls sich der neue Regelverstoss im Ausland innert der entsprechenden gesetzlichen Fristen ereignet hat; trifft Letzteres nicht zu, ist bei Zweittäterinnen und -tätern ein Entzug ohne das Gesetzesprivileg ausserhalb der Kaskadenregelung auszusprechen (E. 3 und 4).</w:t>
      </w:r>
    </w:p>
    <w:p>
      <w:r>
        <w:t>Regeste Art. 16c al. 2 let. a et art. 16cbis al. 2 LCR; durée d'une interdiction de conduire prononcée à l'étranger comme limite supérieure pour la durée du retrait du permis de conduire en Suisse. Lorsque la personne concernée ne figure pas dans le système d'information relatif à l'admission à la circulation (SIAC), la durée de l'interdiction de conduire prononcée à l'étranger constitue la limite supérieure du retrait du permis de conduire ordonné en Suisse en raison de la même infraction aux règles de la circulation routière. Ce privilège ne doit profiter qu'aux délinquant(e)s primaires proprement dits qui n'ont aucun antécédent, pertinent ou non au regard du système des cascades. Pour les récidivistes, le système des cascades s'applique sans égard à la limite supérieure lorsque la nouvelle infraction commise à l'étranger est intervenue dans les délais légaux correspondants; si tel n'est pas le cas, un retrait doit être prononcé en cas de récidive en faisant abstraction du privilège légal et du système des cascades (consid. 3 et 4).</w:t>
      </w:r>
    </w:p>
    <w:p>
      <w:r>
        <w:t>Regesto Art. 16c cpv. 2 lett. a e art. 16cbis cpv. 2 LCStr; durata di un divieto di condurre pronunciato all'estero quale limite superiore per la durata della revoca della licenza di condurre svizzera. Se la persona interessata non figura nel sistema d'informazione sull'ammissione alla circolazione (SIAC), la durata di un divieto di condurre pronunciato all'estero costituisce il limite superiore per la revoca della licenza di condurre ordinata in Svizzera sulla base della stessa infrazione alle norme della circolazione stradale. Di questo privilegio beneficiano comunque solo gli autori primari propriamente detti che non figurano nel sistema SIAC, vale a dire che non hanno nessuna iscrizione, rilevante o meno sotto il profilo del sistema a cascata. Per gli autori recidivi, il sistema a cascata si applica senza riguardo per il limite superiore quando la nuova infrazione commessa all'estero è avvenuta entro i corrispondenti termini legali; se ciò non è il caso, una revoca deve essere pronunciata in caso di recidiva prescindendo dal privilegio legale fuori del sistema a cascata (consid. 3 e 4).</w:t>
      </w:r>
    </w:p>
    <w:p>
      <w:pPr>
        <w:pStyle w:val="Heading2"/>
      </w:pPr>
      <w:r>
        <w:t>Erwägungen</w:t>
      </w:r>
    </w:p>
    <w:p>
      <w:r>
        <w:rPr>
          <w:b/>
        </w:rPr>
        <w:t>E. 3.1</w:t>
      </w:r>
    </w:p>
    <w:p>
      <w:r>
        <w:t>Im vorliegenden Fall ist der Sachverhalt unbestritten. Die Beschwerdeführerin hat am 30. Juni 2018 in Österreich die zulässige Höchstgeschwindigkeit auf der Autobahn von 100 km/h um 62 km/h überschritten, weswegen sie strafrechtlich verurteilt und ihr ein zweiwöchiges Fahrverbot in Österreich auferlegt wurde. Die Beschwerdeführerin bestreitet auch nicht, dabei eine schwere Widerhandlung im Sinne von Art. 16c SVG begangen zu haben. Davon ist im Übrigen grundsätzlich auch nach der bundesgerichtlichen Rechtsprechung bei einer auf der Autobahn erfolgten Überschreitung der zulässigen Höchstgeschwindigkeit um 35 km/h und mehr auszugehen ( BGE 133 II 331 E. 3.1; BGE 132 II 234 E. 3; vgl. auch die Urteile des Bundesgerichts 1C_47/2012 vom 17. April 2012 E. 3.2 und 1C_144/2011 vom 26. Oktober 2011 E. 3.3). Da es keine Hinweise für eine Ausnahmesituation gibt und eine solche auch nicht geltend gemacht wird, hat die Beschwerdeführerin dabei zumindest grob fahrlässig gehandelt (vgl. die Urteile des Bundesgerichts 1C_518/2012 vom 9. Januar 2013 E. 2.3 und 1C_454/2018 vom 21. Dezember 2018 E. 3.3). Hat das Verwaltungsgericht damit die von der Beschwerdeführerin begangene Widerhandlung zu Recht als schwer im Sinne von Art. 16c SVG eingestuft, sind die Voraussetzungen für einen Führerausweisentzug in der Schweiz gemäss Art. 16c bis Abs. 1 SVG erfüllt.</w:t>
      </w:r>
    </w:p>
    <w:p>
      <w:r>
        <w:rPr>
          <w:b/>
        </w:rPr>
        <w:t>E. 3.2</w:t>
      </w:r>
    </w:p>
    <w:p>
      <w:r>
        <w:t>Strittig ist allerdings die Rechtmässigkeit der verfügten Entzugsdauer. Der angefochtene Entscheid stützt sich insofern auf Art. 16cAbs. 2lit. a SVG, wonach der Führerausweis bei einer schweren Widerhandlung für mindestens drei Monate entzogen wird, unter Anrechnung der in Österreich bereits vollstreckten Entzugsdauer von zwei Wochen in Anwendung von Art. 16c bis Abs. 2 SVG . Die Beschwerdeführerin wendet dagegen ein, die in Österreich verfügte Entzugsdauer von zwei Wochen dürfe nicht überschritten werden, da sie im IVZ nicht mit einer Administrativmassnahme eingetragen sei, die dem schweizerischen Kaskadensystem gemäss dem hiesigen Strassenverkehrsgesetz unterliege. Das fragliche Informationssystem enthalte zwar den Eintrag eines im Jahre 2009 verfügten einmonatigen Ausweisentzugs wegen eines mittelschweren Gesetzesverstosses. Die im Ausland festgesetzte Entzugsdauer dürfe aber nur überschritten werden, wenn die eingetragene Administrativmassnahme kaskadenrelevant sei. Da dies in ihrem Fall nicht zutreffe, BGE 148 II 511 S. 515 dürfe ihr in der Schweiz höchstens ein Führerausweisentzug für eine Dauer auferlegt werden, welcher dem in Österreich verfügten Fahrverbot von zwei Wochen entspreche.</w:t>
      </w:r>
    </w:p>
    <w:p>
      <w:r>
        <w:rPr>
          <w:b/>
        </w:rPr>
        <w:t>E. 3.3</w:t>
      </w:r>
    </w:p>
    <w:p>
      <w:r>
        <w:t>Das Kaskadensystem findet sich im Wesentlichen in Art. 16a Abs. 2, Art. 16b Abs. 2 lit. b-f und Art. 16c Abs. 2 lit. b-e SVG wieder. Es beruht darauf, dass die zu verfügende Entzugsdauer jeweils verlängert wird, wenn es in einem bestimmten Zeitraum vor der neu zu beurteilenden Widerhandlung bereits zu einer oder mehreren Widerhandlungen gekommen ist, wobei die Schwere und die Anzahl der Widerhandlungen eine Rolle spielen. Damit sollen Fahrzeugführer und -führerinnen, die innert bestimmter Fristen wiederholt verkehrsgefährdende Widerhandlungen begehen, härter angefasst werden (BERNHARD RÜTSCHE, in: Basler Kommentar, Strassenverkehrsgesetz, 2014, N. 12 zu Vor Art. 16-17a SVG ). Für einen wie hier in Frage stehenden schweren Gesetzesverstoss sind die Bestimmungen von Art. 16c Abs. 2 lit. b-e SVG anwendbar. Der der Beschwerdeführerin im Jahre 2009 auferlegte Entzug wegen einer mittelschweren Widerhandlung stützte sich auf Art. 16b Abs. 2 lit. a SVG . Für den neu zu beurteilenden Regelverstoss wäre er infolge Zeitablaufs nicht mehr erschwerend massgeblich, selbst wenn sich der Gesetzesverstoss in der Schweiz ergeben hätte. Umstritten ist, ob deswegen gegenüber der Beschwerdeführerin in der Schweiz kein Entzug ausgesprochen werden darf, der die in Österreich verfügte Dauer von zwei Wochen überschreitet. Es ist daher nachfolgend zu prüfen, welche Bedeutung dem Kaskadensystem bei der Anwendung von Art. 16c bis Abs. 2 SVG zukommt.</w:t>
      </w:r>
    </w:p>
    <w:p>
      <w:r>
        <w:rPr>
          <w:b/>
        </w:rPr>
        <w:t>E. 4.1</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BGE 142 I 135 E. 1.1.1; je mit Hinweisen).</w:t>
      </w:r>
    </w:p>
    <w:p>
      <w:r>
        <w:rPr>
          <w:b/>
        </w:rPr>
        <w:t>E. 4.2</w:t>
      </w:r>
    </w:p>
    <w:p>
      <w:r>
        <w:t>Das Verwaltungsgericht nahm im angefochtenen Entscheid eine umfassende Auslegung von Art. 16c bis Abs. 2 Satz 3 SVG vor. Es BGE 148 II 511 S. 516 hielt zusammengefasst fest, der Wortlaut der Bestimmung sei eindeutig, wonach die Entzugsdauer lediglich bei jenen Personen auf die im Ausland verfügte Dauer beschränkt sei, über die keine Daten zu Administrativmassnahmen im IVZ vorhanden seien. Aufgrund einer ausführlichen Analyse der Materialien kam die Vorinstanz zum Schluss, entstehungsgeschichtlich ergebe sich, dass der Gesetzgeber eine unterschiedliche Behandlung von Erst- und Wiederholungstätern bzw. -täterinnen beabsichtigt habe. Zwar möge sich die parlamentarische Debatte auf die Personen fokussiert haben, bei denen eine verschärfte Mindestentzugsdauer gemäss der Kaskadenregelung Anwendung finde. Der Umkehrschluss, jene Wiederholungstäter mit Registereintrag, die nicht den verschärften Mindestentzugsdauern gemäss dem Kaskadensystem unterstünden, zählten zu den privilegierten Ersttätern, sei aber nicht zulässig. Zweck der Bestimmung sei es vielmehr, Personen ohne Eintrag im Administrativmassnahmenregister milder zu bestrafen, um zu verhindern, dass solche mit ungetrübtem Leumund denjenigen mit einer einschlägigen Vorgeschichte gleichgestellt würden. Schliesslich passe sich eine solche Auslegung in systematischer Hinsicht stimmig ins gesetzliche Gesamtgefüge ein.</w:t>
      </w:r>
    </w:p>
    <w:p>
      <w:r>
        <w:rPr>
          <w:b/>
        </w:rPr>
        <w:t>E. 4.3</w:t>
      </w:r>
    </w:p>
    <w:p>
      <w:r>
        <w:t>Die Beschwerdeführerin wendet dagegen hauptsächlich ein, die historische Auslegung belege, dass es dem Gesetzgeber auch darum gegangen sei, die Überschreitung der im Ausland verfügten Dauer des Fahrverbots selbst bei Wiederholungstätern nur im Rahmen des Kaskadensystems zuzulassen. Das Bundesamt für Strassen führt aus, bisher davon ausgegangen zu sein, dass die Dauer des ausländischen Fahrverbots nur bei kaskadenrelevanten Administrativmassnahmen überschritten werden dürfe, ohne dies näher zu erläutern.</w:t>
      </w:r>
    </w:p>
    <w:p>
      <w:r>
        <w:rPr>
          <w:b/>
        </w:rPr>
        <w:t>E. 4.4</w:t>
      </w:r>
    </w:p>
    <w:p>
      <w:r>
        <w:t>Mit dem Verwaltungsgericht ist festzuhalten, dass der Wortlaut von Art. 16c bis Abs. 2 Satz 3 SVG eindeutig erscheint. Danach genügt ein Eintrag im IVZ, damit die ausländische Entzugsdauer überschritten werden darf, ohne dass dieser Eintrag eine besonders ausgestaltete Massnahme betreffen muss. Es kann hier offenbleiben, ob sich der Eintrag auf eine Massnahme im Zusammenhang mit einer Widerhandlung gegen die Strassenverkehrsvorschriften zu beziehen hat oder ob auch andere mögliche Einträge gemeint sind. Im vorliegenden Fall betrifft der Eintrag jedenfalls einen früheren Ausweisentzug wegen einer Verkehrsregelverletzung. Dem Verwaltungsgericht ist ebenfalls bei der entstehungsgeschichtlichen Auslegung BGE 148 II 511 S. 517 zu folgen. Die in der Bundesversammlung diskutierte Auffassung, auf die sich die Beschwerdeführerin beruft, hat zwar zu gewissen Anpassungen beim Gesetzestext geführt, sich in der parlamentarischen Debatte im Wesentlichen aber nicht durchgesetzt. Aus den von der Vorinstanz eingehend wiedergegebenen Materialien ergibt sich nicht, dass die Abweichung von der ausländischen Entzugsdauer nur bei kaskadenrelevanten Administrativmassnahmen zulässig sein sollte, obwohl es einzelne Minderheitsvoten in diesem Sinne gegeben haben mag (siehe dazu AB 2008 N 168 ff., 283 ff. und 415 ff.sowie AB2008 S 127 ff.und 181). Auch die Beschwerdeführerin vermag solches nicht zu belegen. Eine wichtige Rolle spielte in der politischen Diskussion hingegen der Gesichtspunkt der Rechtsgleichheit. Die Bundesversammlung war sich bewusst, mit der Privilegierung bei ausländischen Verkehrsregelverstössen gewisse Ungleichheiten zu schaffen, und gleichzeitig darauf bedacht, diese möglichst gering zu halten.</w:t>
      </w:r>
    </w:p>
    <w:p>
      <w:r>
        <w:rPr>
          <w:b/>
        </w:rPr>
        <w:t>E. 4.5</w:t>
      </w:r>
    </w:p>
    <w:p>
      <w:r>
        <w:t>Das alles schliesst einen Rückgriff auf das Kaskadensystem bei der Anwendung von Art. 16c bis Abs. 2 Satz 3 SVG in sinnvoller Weise nicht aus. Der Gesetzgeber differenzierte bewusst zwischen Erst- und Wiederholungstätern und sah die gesetzliche Privilegierung nur für die ersten vor. Die günstigere Regelung für Verkehrsregelverstösse im Ausland, wenn ein dortiges Fahrverbot kürzer ausfällt als in der Schweiz, ist mithin bei Ersttätern vom Gesetzgeber gewollt (vgl. RÜTSCHE/WEBER, in: Basler Kommentar, Strassenverkehrsgesetz, 2014, N. 18 zu Art. 16c bis SVG ) und zu beachten (vgl. BGE 141 II 256 ). Sodann ist es angebracht, auf die von dieser Sonderregelung betroffenen Personen, die innert den Fristen der Kaskadenregelung wegen eines neuen massgeblichen Gesetzesverstosses eine einschlägige Administrativmassnahme aufweisen, die entsprechenden Bestimmungen des Kaskadensystems anzuwenden (vgl. das Urteil des Bundesgerichts 1C_47/2012 vom 17. April 2012 E. 4.1). Insofern bleibt das Kaskadensystem auch bei ausländischen Fahrverboten für die Festlegung einer ergänzenden schweizerischen Administrativmassnahme massgeblich. Wie das Verwaltungsgericht zutreffend festhält, ist aber der Umkehrschluss, dass alle anderen Wiederholungstäter als Ersttäter zu gelten haben, die bei einer milderen ausländischen Entzugsdauer von der bevorzugten Behandlung gemäss Art. 16c bis Abs. 2 Satz 3 SVG profitieren, nicht zulässig. Liegt keine kaskadenrelevante Widerhandlung vor, ist gegenüber den betroffenen Wiederholungstätern vielmehr ein BGE 148 II 511 S. 518 Entzug ausserhalb des Kaskadensystems ohne die Bevorteilung gemäss Art. 16c bis Abs. 2 Satz 3 SVG auszusprechen, namentlich, je nach Schwere des Falles, in Anwendung von Art. 16a Abs. 3 oder 4 SVG , Art. 16b Abs. 2 lit. a SVG oder Art. 16c Abs. 2 lit. a oder allenfalls abis SVG. Nur schon mit Blick auf in der Schweiz erfolgte vergleichbare Verkehrsregelverstösse rechtfertigt es sich aus Gründen der Rechtsgleichheit, die bevorzugte Behandlung auf eigentliche Ersttäter zu beschränken. Dass der Gesetzgeber insofern weiter gehen und bei ausländischen Regelverstössen auch Wiederholungstäter im Vergleich mit solchen mit inländischen Widerhandlungen bevorteilen wollte, die nicht unter die Kaskadenregelung fallen, ist nicht ersichtlich. Im Gegenteil wurde im Parlament ausdrücklich argumentiert, es gehe darum, zu verhindern, dass Wiederholungs- wie Ersttäter behandelt bzw. wie letztere privilegiert würden (Votum Bieri, AS 2008 S 181). Dem entsprechenden Antrag des Ständerats zum geltenden Gesetzestext schloss sich der Nationalrat in der Differenzbereinigung an (AB 2008 N 415 ff.).</w:t>
      </w:r>
    </w:p>
    <w:p>
      <w:r>
        <w:rPr>
          <w:b/>
        </w:rPr>
        <w:t>E. 4.6</w:t>
      </w:r>
    </w:p>
    <w:p>
      <w:r>
        <w:t>Nur der Ergänzung halber sei erwähnt, dass für schweizerische Ausweisentzüge im umgekehrten Sinn hinsichtlich der Maximaldauer immer die schweizerische Regel massgeblich bleibt, selbst wenn das ausländische Fahrverbot länger ausgefallen sein sollte, wobei auch insoweit eine an den konkreten Umständen ausgerichtete angemessene Anrechnung zu erfolgen hat. Insgesamt wird die im angefochtenen Entscheid verfolgte Auslegung somit dem Wortlaut, dem Zweck sowie der Systematik des Gesetzes gerecht, steht nicht im Widerspruch zur Entstehungsgeschichte und entspricht dem Rechtsgleichheitsgebot von Art. 8 Abs. 1 BV . Sie ist nicht zu beanstanden.</w:t>
      </w:r>
    </w:p>
    <w:p>
      <w:r>
        <w:rPr>
          <w:b/>
        </w:rPr>
        <w:t>E. 4.7</w:t>
      </w:r>
    </w:p>
    <w:p>
      <w:r>
        <w:t>Aufgrund des Eintrags eines Ausweisentzuges von einem Monat im Jahre 2009 im IVZ ist die Beschwerdeführerin nicht Ersttäterin, sondern hat als vorbelastete Wiederholungstäterin zu gelten. Die von ihr begangene schwere Widerhandlung gegen das Strassenverkehrsrecht hat gemäss Art. 16c Abs. 2 lit. a SVG einen Führerausweisentzug von mindestens drei Monaten zur Folge. Die Kaskadenregelung nach Art. 16c Abs. 2 lit. b-e SVG gelangt nicht zur Anwendung, da die entsprechenden Fristen abgelaufen sind. Die Mindestentzugsdauer darf nach Art. 16c bis Abs. 2 Sätze 1 und 2 SVG in Abweichung vom Grundsatz gemäss Art. 16 Abs. 3 Satz 2 SVG unterschritten werden, soweit sich das aufgrund der Auswirkungen des ausländischen Fahrverbotes, die angemessen zu berücksichtigen BGE 148 II 511 S. 519 sind, auf die Beschwerdeführerin rechtfertigt. Die dieser gegenüber verfügte Entzugsdauer von drei Monaten unter Abzug bzw. Anrechnung des ihr in Österreich auferlegten Fahrverbotes von zwei Wochen ist demnach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