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259</w:t>
      </w:r>
    </w:p>
    <w:p>
      <w:r>
        <w:t>Bundesgericht (BGE), 2022-02-28, DE</w:t>
      </w:r>
    </w:p>
    <w:p>
      <w:r>
        <w:rPr>
          <w:b/>
        </w:rPr>
        <w:t xml:space="preserve">Quelle: </w:t>
      </w:r>
      <w:r>
        <w:t>https://mcp.opencaselaw.ch/entscheid/bge_BGE_148_II_259</w:t>
      </w:r>
    </w:p>
    <w:p>
      <w:r>
        <w:t>FR: ATF 148 II 259</w:t>
      </w:r>
    </w:p>
    <w:p>
      <w:r>
        <w:t>IT: DTF 148 II 259</w:t>
      </w:r>
    </w:p>
    <w:p>
      <w:pPr>
        <w:pStyle w:val="Heading2"/>
      </w:pPr>
      <w:r>
        <w:t>Regeste</w:t>
      </w:r>
    </w:p>
    <w:p>
      <w:r>
        <w:t>Regeste Art. 24 Abs. 3 StHG; Art. 80 Abs. 4 BVG; Aufschub der Grundstückgewinnsteuer bei Übertragung des Immobilienbestands einer Pensionskasse auf eine Anlagestiftung im Austausch gegen Beteiligungsrechte am Immobilienportfolio dieser Anlagestiftung ("Immobilien Asset Swap"). Als Anknüpfungspunkte für einen möglichen Aufschub der Grundstückgewinnsteuer bei einem "Immobilien Asset Swap" zwischen einer Pensionskasse und einer Anlagestiftung kommen sowohl Art. 24 Abs. 3 StHG (bzw. die entsprechende kantonale Umsetzungsvorschrift) als auch Art. 80 Abs. 4 Satz 2 BVG in Betracht (E. 4.1-4.3). Nach der Konzeption des Gesetzgebers sollte Art. 80 Abs. 4 Satz 2 BVG gegenüber den später erlassenen Art. 24 Abs. 3 und 3 ter StHG eine eigenständige Bedeutung behalten; die Bestimmung ist entsprechend ohne Rückgriff auf allfällige einschränkende Voraussetzungen von Art. 24 Abs. 3 und 3 quater StHG auszulegen (E. 5.1-5.3). Das Vorliegen einer "Aufteilung" (frz. "division"; it. "divisione") im Sinne von Art. 80 Abs. 4 Satz 2 BVG ist nicht an eine bestimmte Umstrukturierungsform gebunden und muss sich nicht zwingend im Rahmen einer Teil- bzw. Vollliquidation abspielen; solange der Immobilienbestand der Vorsorgeeinrichtung dem bisherigen Vorsorgezweck verhaftet bleibt, ist der Steueraufschub grundsätzlich zu gewähren (E. 6.4.1-6.4.3). Vorliegen einer "Aufteilung" im konkreten Fall bejaht (E. 6.4.5).</w:t>
      </w:r>
    </w:p>
    <w:p>
      <w:r>
        <w:t>Regeste Art. 24 al. 3 LHID; art. 80 al. 4 LPP; report de l'impôt sur les gains immobiliers en cas de transfert du parc immobilier d'une caisse de pension à une fondation de placement en échange de droits de participation au portefeuille immobilier de cette fondation de placement ("Asset Swap immobiliers"). Tant l'art. 24 al. 3 LHID (ou la disposition cantonale de mise en oeuvre correspondante) que l'art. 80 al. 4, 2 e phrase, LPP entrent en ligne de compte comme points de rattachement pour un éventuel report de l'impôt sur les gains immobiliers en cas de "Asset Swap immobiliers" entre une caisse de pension et une fondation de placement (consid. 4.1-4.3). Selon la conception du législateur, l'art. 80 al. 4, 2 e phrase, LPP devait conserver une signification autonome par rapport aux art. 24 al. 3 et 3 ter LHID adoptés ultérieurement; la disposition doit donc être interprétée sans recourir aux éventuelles conditions restrictives des art. 24 al. 3 et 3 quater LHID (consid. 5.1-5.3). L'existence d'une "division" ("Aufteilung" en allemand; "divisione" en italien) au sens de l'art. 80 al. 4, 2 e phrase, LPP n'est pas liée à une forme de restructuration déterminée et ne doit pas nécessairement se dérouler dans le cadre d'une liquidation partielle ou totale; tant que le parc immobilier de l'institution de prévoyance reste attaché au but de prévoyance antérieur, le report d'imposition doit en principe être accordé (consid. 6.4.1-6.4.3). Existence d'une "division" confirmée dans le cas concret (consid. 6.4.5).</w:t>
      </w:r>
    </w:p>
    <w:p>
      <w:r>
        <w:t>Regesto Art. 24 cpv. 3 LAID; art. 80 cpv. 4 LPP; differimento dell'imposizione sugli utili immobiliari in caso di trasmissione del portafoglio immobiliare di una cassa pensione a una fondazione di investimento in cambio di diritti di partecipazione al portafoglio immobiliare di questa fondazione di investimento ("Asset Swap immobiliare"). Quale riferimento per un possibile differimento dell'imposizione sugli utili immobiliari in relazione a un caso di "Asset Swap immobiliare" tra una cassa pensione e una fondazione di investimento entrano in considerazione sia l'art. 24 cpv. 3 LAID (o la corrispondente norma che lo traspone nel diritto cantonale) sia l'art. 80 cpv. 4 LPP, seconda frase (consid. 4.1-4.3). In base alla concezione del legislatore, l'art. 80 cpv. 4 LPP, seconda frase, deve conservare un significato autonomo rispetto all'art. 24 cpv. 3 e 3 ter LAID, adottato successivamente; la disposizione va quindi interpretata senza richiamarsi a eventuali condizioni restrittive dell'art. 24 cpv. 3 e 3 quater LAID (consid. 5.1-5.3). L'esistenza di una "divisione" ("Aufteilung" in tedesco; "division" in francese) ai sensi dell'art. 80 cpv. 4 LPP, seconda frase, non è legata a una forma di ristrutturazione specifica e non deve necessariamente essere riscontrata nel quadro di una liquidazione parziale o totale; finché il portafoglio immobiliare dell'istituzione di previdenza resta ancorato all'obiettivo di previdenza anteriore, il differimento dell'imposizione va di principio accordato (consid. 6.4.1-6.4.3). Esistenza di una "divisione" ammessa nel caso concreto (consid. 6.4.5).</w:t>
      </w:r>
    </w:p>
    <w:p>
      <w:pPr>
        <w:pStyle w:val="Heading2"/>
      </w:pPr>
      <w:r>
        <w:t>Erwägungen</w:t>
      </w:r>
    </w:p>
    <w:p>
      <w:r>
        <w:rPr>
          <w:b/>
        </w:rPr>
        <w:t>E. 3.1</w:t>
      </w:r>
    </w:p>
    <w:p>
      <w:r>
        <w:t>Der Sachverhalt des vorliegenden Falls ist unbestritten: Die Beschwerdegegnerin hat der Zürich Anlagestiftung im Jahr 2012 gestützt auf den Vermögensübertragungsvertrag vom 18. Januar 2012 ihr gesamtes Immobilienportfolio übertragen, wobei sich die betreffenden Immobilien teilweise im Kanton Zürich befinden. Der Preis für die Transaktion wurde entsprechend der Summe der geschätzten Verkehrswerte der übertragenen Liegenschaften auf Fr. 48'621'000.- festgesetzt und mittels Ausgabe von 30'059.165 nennwertlosen und unentziehbaren Ansprüchen an der Anlagegruppe "I." à je Fr. 1'617.51 abgegolten. Mit der Transaktion wurde bisheriger Immobiliendirektbesitz der Beschwerdegegnerin in indirekte Immobilienanlagen (Buchforderung an der Anlagegruppe "I." der Zürich Anlagestiftung als Gegenwert zur Übertragung der Immobilien) umgewandelt; wirtschaftlich stand dahinter der Gedanke der Beschwerdegegnerin, dass die Rendite auf den Immobilienanlagen aufgrund einer effizienteren und professionelleren Immobilienverwaltung sowie einer breiteren Streuung der Risiken bzw. einer umfassenderen geografischen Diversifikation gesteigert werden könne.</w:t>
      </w:r>
    </w:p>
    <w:p>
      <w:r>
        <w:rPr>
          <w:b/>
        </w:rPr>
        <w:t>E. 3.2</w:t>
      </w:r>
    </w:p>
    <w:p>
      <w:r>
        <w:t>Transaktionen wie die vorliegende (vgl. E. 3.1 hiervor) werden in der Doktrin auch als "Immobilien Asset Swap" bezeichnet (vgl. BAUER-BALMELLI/HARBEKE, Immobilien Asset Swap und Ersatzbeschaffung, Steuerneutrale Restrukturierung eines Immobilienbetriebs, Der Schweizer Treuhänder 2011 S. 490 ff., S. 490 f.; CHRISTOPH OLIVER SCHMID, in: Umstrukturierungen, Zweifel/Beusch/Riedweg/ BGE 148 II 259 S. 263 Oesterhelt [Hrsg.], 2016, § 12 Rz. 89). Soweit sie - wie vorliegend - durch Vermögensübertragung abgewickelt werden, ist gesetzlich ausdrücklich vorgeschrieben, dass der Vorsorgezweck und die Rechte und Ansprüche der Versicherten gewahrt bleiben müssen (vgl. Art. 98 Abs. 2 des Bundesgesetzes vom 3. Oktober 2003 über Fusion, Spaltung, Umwandlung und Vermögensübertragung [FusG; SR 221.301], der Art. 88 Abs. 2 FusG für sinngemäss anwendbar erklärt).</w:t>
      </w:r>
    </w:p>
    <w:p>
      <w:r>
        <w:rPr>
          <w:b/>
        </w:rPr>
        <w:t>E. 3.3</w:t>
      </w:r>
    </w:p>
    <w:p>
      <w:r>
        <w:t>In rechtlicher Hinsicht ist vorliegend unbestritten, dass die Beschwerdegegnerin als Vorsorgeeinrichtung im Sinne von § 61 lit. e des Steuergesetzes des Kantons Zürich vom 8. Juni 1997 (StG/ZH; LS 631.1) bzw. Art. 23 Abs. 1 lit. d des Bundesgesetzes vom 14. Dezember 1990 über die Harmonisierung der direkten Steuern der Kantone und Gemeinden (StHG; SR 642.14) zu qualifizieren ist. Als solche ist sie zwar von der Steuerpflicht grundsätzlich befreit ( Art. 23 Abs. 1 lit. d StHG ), unterliegt jedoch der Grundstückgewinnsteuer ( Art. 23 Abs. 4 Satz 1 StHG ; § 217 und § 218 e contrario StG/ZH; vgl. für die entsprechende Rechtsgrundlage im Recht der beruflichen Vorsorge Art. 80 Abs. 4 Satz 1 des Bundesgesetzes vom 25. Juni 1982 über die berufliche Alters-, Hinterlassenen- und Invalidenvorsorge [BVG; SR 831.40]). Ausser Streit liegt vorliegend auch, dass die Übertragung der hier interessierenden Grundstücke von der Beschwerdegegnerin auf die Zürich Anlagestiftung eine Handänderung im Sinne des Grundstückgewinnsteuerrechts darstellt ( § 216 Abs. 1 und 2 StG /ZH) und dass dabei im Prinzip ein steuerbarer Gewinn angefallen ist. Strittig und zu klären ist vorliegend damit nur die Rechtsfrage, ob sich die Beschwerdegegnerin auf einen Steueraufschubtatbestand berufen kann. Die Vorinstanz bejahte dies mit Blick auf Art. 80 Abs. 4 Satz 2 BVG ; ob daneben auch die Aufschubtatbestände von Art. 12 Abs. 4 lit. a in Verbindung mit Art. 24 Abs. 3 StHG bzw. § 216 Abs. 3 lit. d in Verbindung mit § 67 Abs. 1 StG /ZH erfüllt sein könnten, liess sie unbeantwortet.</w:t>
      </w:r>
    </w:p>
    <w:p>
      <w:r>
        <w:rPr>
          <w:b/>
        </w:rPr>
        <w:t>E. 4.1</w:t>
      </w:r>
    </w:p>
    <w:p>
      <w:r>
        <w:t>Nach Art. 12 Abs. 4 lit. a StHG müssen Kantone, die im Bereich der Grundstückgewinnsteuern - wie der Kanton Zürich - dem monistischen System folgen, gewährleisten, dass die in den Artikeln 8 Abs. 3 und 24 Abs. 3 und 3 quater StHG genannten Tatbestände als steueraufschiebende Veräusserungen behandelt werden. Demnach haben die Kantone bei Immobilientransaktionen im Zusammenhang mit Umstrukturierungen oder bei Vermögensübertragungen im Konzern einen Steueraufschub zu gewähren. Der BGE 148 II 259 S. 264 Kanton Zürich hat die erwähnten bundesrechtlichen Vorgaben (vgl. Urteil 2C_340/2011 vom 1. Februar 2012 E. 1.3) mit § 216 Abs. 3 lit. d StG /ZH nachvollzogen. Nach dieser Bestimmung wird die Grundstückgewinnsteuer bei Umstrukturierungen im Sinn von § 19 Abs. 1 sowie § 67 Abs. 1 und 3 StG /ZH aufgeschoben. Als steuerbefreite Umstrukturierungen gelten nach § 67 StG /ZH insbesondere Fusion, Spaltung oder Umwandlung, soweit die Steuerpflicht in der Schweiz fortbesteht und die bisher für die Gewinnsteuer massgeblichen Werte übernommen werden (vgl. § 67 Abs. 1 Ingress StG/ZH).</w:t>
      </w:r>
    </w:p>
    <w:p>
      <w:r>
        <w:rPr>
          <w:b/>
        </w:rPr>
        <w:t>E. 4.2</w:t>
      </w:r>
    </w:p>
    <w:p>
      <w:r>
        <w:t>Weder Art. 24 Abs. 3 StHG noch § 67 Abs. 1 StG /ZH enthalten eine abschliessende Aufzählung von Umstrukturierungstatbeständen; beide Bestimmungen sehen als generelle Voraussetzungen für die steuerneutrale Übertragung von Reserven jedoch vor, dass neben einem Umstrukturierungstatbestand der Fortbestand der Steuerpflicht in der Schweiz gewährleistet sein muss und dass die Gewinnsteuerwerte fortgeführt werden müssen (vgl. OESTERHELT/MARTIN, in: Bundesgesetz über die Harmonisierung der direkten Steuern der Kantone und Gemeinden [StHG], Zweifel/Beusch [Hrsg.], in: Kommentar zum Schweizerischen Steuerrecht, 3. Aufl. 2017, N. 446 zu Art. 24 StHG ; RICHNER/FREI/KAUFMANN/ROHNER, Kommentar zum Zürcher Steuergesetz, 4. Aufl. 2021, N. 14 f. zu § 67 StG /ZH). Die vorstehenden Bestimmungen gelten für juristische Personen im Allgemeinen und sind daher im Grundsatz auch für die als Stiftung konstituierte Beschwerdegegnerin anwendbar.</w:t>
      </w:r>
    </w:p>
    <w:p>
      <w:r>
        <w:rPr>
          <w:b/>
        </w:rPr>
        <w:t>E. 4.3</w:t>
      </w:r>
    </w:p>
    <w:p>
      <w:r>
        <w:t>Spezifisch mit Blick auf Vorsorgeeinrichtungen sieht Art. 80 Abs. 4 Satz 2 BVG im Sinne eines Steueraufschubs vor, dass bei Fusionen und Aufteilungen keine Gewinnsteuern erhoben werden dürfen. Der Begriff der "Gewinnsteuern" ist dabei im Sinne einer "Steuer auf Mehrwerten aus der Veräusserung von Liegenschaften" zu verstehen (vgl. Urteil 2C_340/2011 vom 1. Februar 2012 E. 2.3). Er deckt damit auch die Erhebung der Grundstückgewinnsteuer in Kantonen mit monistischem System ab. Aus dem BVG und auch aus den zugehörigen Materialien ergibt sich nicht, was unter den in Art. 80 Abs. 4 Satz 2 BVG erwähnten Tatbeständen der "Fusion" bzw. der "Aufteilung" zu verstehen ist.</w:t>
      </w:r>
    </w:p>
    <w:p>
      <w:r>
        <w:rPr>
          <w:b/>
        </w:rPr>
        <w:t>E. 5</w:t>
      </w:r>
    </w:p>
    <w:p>
      <w:r>
        <w:t>Als Anknüpfungspunkte für einen möglichen Aufschub der Grundstückgewinnsteuern kommen nach dem oben Ausgeführten (vgl. E. 4.1 und 4.2 hiervor) verschiedene Bestimmungen in BGE 148 II 259 S. 265 Betracht. Zu klären ist nachfolgend, in welchem Verhältnis diese Bestimmungen zueinander stehen.</w:t>
      </w:r>
    </w:p>
    <w:p>
      <w:r>
        <w:rPr>
          <w:b/>
        </w:rPr>
        <w:t>E. 5.1</w:t>
      </w:r>
    </w:p>
    <w:p>
      <w:r>
        <w:t>Art. 80 Abs. 4 Satz 2 BVG wurde 1982 erlassen. Damals gab es keine allgemeinen bundesrechtlichen Vorgaben über die von den Kantonen bzw. den Gemeinden erhobenen Grundstückgewinnsteuern (vgl. ROBERT WALDBURGER, Vorsorgeeinrichtungen: Ersatzbeschaffungen und Verhältnis zwischen den Steueraufschubstatbeständen in Art. 80 Abs. 4 BVG und im StHG, IFF Forum für Steuerrecht [FStR] 2013 S. 314 ff., S. 317). Erst mit dem Inkrafttreten des StHG per 1. Januar 1993 wurden den Kantonen allgemeine (per 1. Januar 2001 verbindliche [vgl. Art. 72 Abs. 1 StHG in der Fassung vom 14. Dezember 1990; AS 1991 1256]) Vorgaben zur Ausgestaltung der Grundstückgewinnsteuer gemacht; zu diesen Vorgaben zählt insbesondere der oben erwähnte Art. 12 Abs. 4 StHG (vgl. E. 4.1 hiervor).</w:t>
      </w:r>
    </w:p>
    <w:p>
      <w:r>
        <w:rPr>
          <w:b/>
        </w:rPr>
        <w:t>E. 5.2</w:t>
      </w:r>
    </w:p>
    <w:p>
      <w:r>
        <w:t>Die Regelungen von § 216 Abs. 3 lit. d und § 67 Abs. 1 StG /ZH sind auf eine per 1. Juli 2004 in Kraft gesetzte Änderung von Art. 12 Abs. 4 und Art. 24 Abs. 3 StHG zurückzuführen, die ihrerseits unmittelbar vom damals neu in Kraft gesetzten FusG beeinflusst war (vgl. hierzu BGE 146 II 73 E. 2.3.1). Mit dieser Änderung des StHG wollte der Gesetzgeber die (steuerrechtlichen) Umstrukturierungsvorschriften "offener und zeitgemässer" formulieren und insbesondere verhindern, dass zivilrechtliche Gestaltungsmöglichkeiten durch das Steuerrecht vereitelt würden (vgl. Botschaft vom 13. Juni 2000 zum Bundesgesetz über Fusion, Spaltung, Umwandlung und Vermögensübertragung [Fusionsgesetz; FusG], BBl 2000 4337 ff., 4368 [nachfolgend: Botschaft FusG]).</w:t>
      </w:r>
    </w:p>
    <w:p>
      <w:r>
        <w:rPr>
          <w:b/>
        </w:rPr>
        <w:t>E. 5.3</w:t>
      </w:r>
    </w:p>
    <w:p>
      <w:r>
        <w:t>Anders als das StHG und das StG/ZH (vgl. E. 5.2 hiervor) erfuhr Art. 80 Abs. 4 BVG im Zuge der Inkraftsetzung des FusG keine Änderung. Insbesondere wurde darauf verzichtet, den Artikel an die neue Terminologie des FusG bzw. des StHG anzupassen. Im Vernehmlassungsverfahren zum FusG wurde derweil die Befürchtung geäussert, dass die (vorläufige) Befreiung der Einrichtungen der Personalvorsorge von der Grundstückgewinnsteuer im Falle der Spaltung einer Vorsorgeeinrichtung an der sog. Betriebsklausel (vgl. Art. 24 Abs. 3 lit. b StHG ) scheitern könnte. Darauf entgegnete der Bundesrat in der Botschaft zum FusG, dass irrelevant sei, ob Personalfürsorgeeinrichtungen generell als "Betriebe" im steuerrechtlichen Sinn qualifiziert werden könnten, denn die Steuerneutralität der Spaltung ergebe sich direkt aus Art. 80 Abs. 4 BVG , BGE 148 II 259 S. 266 der keine einschränkende Betriebsklausel kenne (Botschaft FusG, a.a.O., 4376 und 4507). Wie die Vorinstanz zutreffend dargelegt hat, kann daraus abgeleitet werden, dass mit den Änderungen des StHG die Bestimmungen des BVG nicht derogiert werden sollten; Art. 80 Abs. 4 Satz 2 BVG sollte gegenüber Art. 24 Abs. 3 und 3 ter StHG vielmehr eine eigenständige Bedeutung behalten und ist entsprechend - wie auch das Steueramt der Stadt Zürich zugesteht - autonom, d.h. ohne Rückgriff auf allfällige einschränkende Voraussetzungen von Art. 24 Abs. 3 und 3 quater StHG auszulegen (vgl. auch SCHMID, a.a.O., § 12 Rz. 73 und 82).</w:t>
      </w:r>
    </w:p>
    <w:p>
      <w:r>
        <w:rPr>
          <w:b/>
        </w:rPr>
        <w:t>E. 5.4</w:t>
      </w:r>
    </w:p>
    <w:p>
      <w:r>
        <w:t>Es spricht nach dem Gesagten nichts dagegen, den Aufschub von Grundstückgewinnsteuern bei der Umstrukturierung von Einrichtungen der Personalvorsorge - wie schon die Vorinstanz - primär nach der speziell auf Vorsorgeeinrichtungen zugeschnittenen Regel von Art. 80 Abs. 4 Satz 2 BVG zu prüfen. Dies schliesst allerdings einen Steueraufschub gestützt auf die allgemeinen Umstrukturierungsregeln von Art. 24 Abs. 3 und Abs. 3 ter StHG bzw. § 67 Abs. 1 StG /ZH nicht aus (vgl. in diesem Sinne auch BAUER-BALMELLI/HARBEKE, a.a.O., S. 492 f.; SCHMID, a.a.O., § 12 Rz. 75; WALDBURGER, a.a.O., S. 322). Offenbleiben kann, ob Art. 80 Abs. 4 BVG direkt anwendbares Bundesrecht darstellt oder aber als blosser Harmonisierungsauftrag an die kantonalen Gesetzgeber verstanden werden muss (in letztere Richtung weisen BGE 126 I 76 E. 1 und BGE 116 Ia 264 E. 3d, ohne dass die Frage dort mit Blick auf Art. 80 Abs. 4 BVG jedoch umfassend geprüft worden wäre; ausführlich zu dieser Frage WALDBURGER, a.a.O., S. 321); sollte Letzteres der Fall sein, wäre die Bestimmung in Ermangelung einer kantonalen Umsetzungsvorschrift als kantonales Ersatzrecht direkt anzuwenden, wie die Vorinstanz dies angenommen hat (vgl. LINDER/LAMPRECHT, Investitionen von Vorsorgeeinrichtungen in Anlagestiftungen mittels Immobilien-Sacheinlage, StR 62/2007 S. 2 ff., S. 7).</w:t>
      </w:r>
    </w:p>
    <w:p>
      <w:r>
        <w:rPr>
          <w:b/>
        </w:rPr>
        <w:t>E. 6</w:t>
      </w:r>
    </w:p>
    <w:p>
      <w:r>
        <w:t>Nachzugehen ist somit der Frage, wie der Begriff der "Aufteilung" im Sinne von Art. 80 Abs. 4 Satz 2 BVG zu verstehen ist und ob die vorliegend interessierende Transaktion (vgl. E. 3.1 und 3.2 hiervor) darunter subsumiert werden kann.</w:t>
      </w:r>
    </w:p>
    <w:p>
      <w:r>
        <w:rPr>
          <w:b/>
        </w:rPr>
        <w:t>E. 6.1</w:t>
      </w:r>
    </w:p>
    <w:p>
      <w:r>
        <w:t>Die Vorinstanz bejahte das Vorliegen einer "Aufteilung". Sie begründete dies damit, dass die Vermögensverwaltung wesentlicher Bestandteil der Geschäftstätigkeit jeder Vorsorgeeinrichtung sei. Gemäss Art. 71 Abs. 1 BVG hätten Vorsorgeeinrichtungen dabei BGE 148 II 259 S. 267 die Sicherheit der Anlagen, die angemessene Risikoverteilung, die Erzielung eines genügenden Ertrags und die Deckung des voraussehbaren Bedarfs an flüssigen Mitteln im Auge zu behalten. Es könne davon ausgegangen werden, dass sich die Beschwerdegegnerin bei ihrem Entscheid, sämtliche ihrer Liegenschaften auf die Zürich Anlagestiftung zu übertragen, an diesen Grundsätzen orientiert habe. Mit Blick darauf, dass sie eine Optimierung der Verwaltung ihres Liegenschaftenvermögens beabsichtigt habe, dabei nicht nur eine einzige oder vereinzelte Liegenschaft, sondern ihr gesamtes Immobilienportfolio übertragen habe und Vorsorgeeinrichtungen keinem (doppelten) Betriebserfordernis unterliegen würden, könne durchaus von einer Reorganisation der Vermögensverwaltung im Sinne einer steuerlichen Umstrukturierung gesprochen werden. Die zivilrechtlich als Vermögensübertragung im Sinn von Art. 98 FusG ausgestaltete Transaktion komme wirtschaftlich einer Ausgliederung gleich, die sich unter den Aufteilungsbegriff subsumieren lasse. Es sei davon auszugehen, dass der Zweck des Vorsorgevermögens bei der Übertragung vollumfänglich erhalten geblieben sei; auch sei unbestritten, dass die Verkehrswerte der übertragenen Liegenschaften vollumfänglich mittels Ausgabe von Ansprüchen an der Anlagegruppe "I." abgegolten worden seien, womit bei der Übertragung die Rechte und Ansprüche der Versicherten gewahrt geblieben seien.</w:t>
      </w:r>
    </w:p>
    <w:p>
      <w:r>
        <w:rPr>
          <w:b/>
        </w:rPr>
        <w:t>E. 6.2</w:t>
      </w:r>
    </w:p>
    <w:p>
      <w:r>
        <w:t>Das Steueramt der Stadt Zürich wendet gegen die Würdigung der Vorinstanz zusammengefasst ein, dass Vorsorgeeinrichtungen gemäss Art. 23 Abs. 4 Satz 1 in Verbindung mit Art. 23 Abs. 1 lit. d StHG grundsätzlich den kantonalen Grundstückgewinnsteuern unterliegen würden; es sei aber naheliegend, dass der Gesetzgeber bei Art. 80 Abs. 4 BVG zumindest in gewissen Fällen auf die Erhebung von Grundsteuern habe verzichten wollen, wenn die Vorsorgeeinrichtung aus rechtlichen bzw. vordefinierten Gründen gezwungen sei, Grundstücke zu übertragen. Art. 80 Abs. 4 Satz 2 BVG sei nur auf solche Fälle zugeschnitten, weshalb nur Teilliquidationen bzw. Gesamtliquidationen als Aufteilungen gelten könnten.</w:t>
      </w:r>
    </w:p>
    <w:p>
      <w:r>
        <w:rPr>
          <w:b/>
        </w:rPr>
        <w:t>E. 6.3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BGE 148 II 259 S. 268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BGE 143 II 685 E. 4; BGE 142 V 442 E. 5.1).</w:t>
      </w:r>
    </w:p>
    <w:p>
      <w:r>
        <w:rPr>
          <w:b/>
        </w:rPr>
        <w:t>E. 6.4.1</w:t>
      </w:r>
    </w:p>
    <w:p>
      <w:r>
        <w:t>Der in Art. 80 Abs. 4 BVG enthaltene Begriff der "Aufteilung" (frz. "division"; it. "divisione") wird im BVG - wie oben bereits erwähnt (vgl. E. 4.3 hiervor) - nicht näher ausgeführt. Im FusG wird der Begriff zwar im Zusammenhang mit der Spaltung (frz. "scission"; it. "scissione") von Gesellschaften verwendet (vgl. Art. 29 lit. a FusG ; Art. 37 lit. b FusG ; vgl. in der französischen und italienischen Sprachfassung ferner Art. 38 Abs. 1 lit. a und Abs. 3 sowie Art. 51 Abs. 3 FusG ); er bezeichnet jedoch keinen eigentlichen Umstrukturierungstatbestand. Rein grammatikalisch ist eine breite Anwendung des Begriffs auf sämtliche Konstellationen denkbar, in denen - unter Beibehaltung von Vermögenssubstrat bei der abgebenden juristischen Person (vgl. auch Art. 29 lit. b FusG ) - Vermögen auf einen anderen Rechtsträger übertragen wird. Bei einem solchen Begriffsverständnis kann sich der Aufteilungsbegriff sowohl auf echte bzw. eigentliche Umstrukturierungen (d.h. Umstrukturierungen mit mitgliedschaftsrechtlicher Komponente, insbesondere in Form der Spaltung), als auch auf uneigentliche bzw. unechte Umstrukturierungen beziehen (vgl. zu diesen Begriffen VON DER CRONE/GERSBACH/KESSLER/VON DER CRONE/INGBER, Das Fusionsgesetz, 2. Aufl. 2017, § 10 Rz. 1381 ff.; MARKUS WEIDMANN, in: Umstrukturierungen, a.a.O., § 1 Rz. 1). Im Sinne einer Negativabgrenzung zu beachten ist, dass in Art. 80 Abs. 4 BVG auch der Begriff der "Veräusserung" verwendet wird; unter diesem Gesichtspunkt des Wortlauts von Art. 80 Abs. 4 BVG kann die "Aufteilung" deshalb nicht jede Übertragung von Vermögen umfassen; keine "Aufteilung" ist insbesondere bei einem Verkauf von Immobilien anzunehmen. BGE 148 II 259 S. 269</w:t>
      </w:r>
    </w:p>
    <w:p>
      <w:r>
        <w:rPr>
          <w:b/>
        </w:rPr>
        <w:t>E. 6.4.2</w:t>
      </w:r>
    </w:p>
    <w:p>
      <w:r>
        <w:t>Hintergrund der Regelung von Art. 80 Abs. 4 Satz 2 BVG (im ursprünglichen bundesrätlichen Gesetzesentwurf: Art. 76 E-BVG) bildete der Gedanke, dass im Interesse der vollen Zweckerhaltung des Vorsorgevermögens bei der blossen Umstrukturierung einer Einrichtung der beruflichen Vorsorge auf die Erhebung der Grundstückgewinnsteuern verzichtet werden sollte (vgl. Botschaft vom 19. Dezember 1975 zum Bundesgesetz über die berufliche Alters-, Hinterlassenen- und Invalidenvorsorge, BBl 1976 I 149 ff., 214). Dies legt die Auffassung nahe, dass der Aufschub der Grundstückgewinnsteuer bei der Übertragung von Immobilien im Rahmen einer Umstrukturierung von Einrichtungen der Personalvorsorge aufgrund von Art. 80 Abs. 4 Satz 2 BVG grundsätzlich zu gewähren ist, solange der Immobilienbestand dem bisherigen Vorsorgezweck verhaftet bleibt (vgl. auch MAUTE/STEINER/RUFENER/LANG, Steuern und Versicherungen, Überblick über die steuerliche Behandlung von Versicherungen, 3. Aufl. 2011, S. 136). Die hier interessierende Transaktion ist insbesondere mit Blick auf diesen Zweckgedanken zu beurteilen; dass Anlagestiftungen im BVG erst seit dem 1. Januar 2012 geregelt sind (vgl. Art. 53g-k BVG ), ändert am Zweck von Art. 80 Abs. 4 Satz 2 BVG nichts.</w:t>
      </w:r>
    </w:p>
    <w:p>
      <w:r>
        <w:rPr>
          <w:b/>
        </w:rPr>
        <w:t>E. 6.4.3</w:t>
      </w:r>
    </w:p>
    <w:p>
      <w:r>
        <w:t>Aufgrund der Materialien lässt sich nicht ohne Weiteres rekonstruieren, welche konkreten Konstellationen der Gesetzgeber unter den Begriff der "Aufteilungen" subsumieren wollte. Der Normzweck von Art. 80 Abs. 4 Satz 2 BVG lässt jedoch den Schluss zu, dass eine "Aufteilung" im Sinne von Art. 80 Abs. 4 Satz 2 BVG nicht an eine bestimmte Umstrukturierungsform gebunden ist und sich auch nicht zwingend im Rahmen einer Teil- bzw. Vollliquidation abspielen muss; insoweit deckt sich die Konzeption des BVG mit derjenigen des FusG (vgl. auch Botschaft FusG, a.a.O., 4369 und 4371). Entscheidend ist jedoch, dass der Immobilienbestand dem bisherigen Vorsorgezweck verhaftet bleibt. Davon kann nur ausgegangen werden, wenn der konkret in Frage stehende Immobilienbestand auch nach der "Aufteilung" der Vorsorgeeinrichtung weiterhin (auch) den in der betreffenden Einrichtung angeschlossenen Arbeitnehmerinnen und Arbeitnehmern dient. Kein Anwendungsfall von Art. 80 Abs. 4 BVG liegt damit vor, wenn eine Pensionskasse ihren Immobilienbestand an eine andere Pensionskasse verkauft (vgl. analog mit Blick auf die fusionsrechtlichen Umstrukturierungstatbestände BGE 138 II 557 E. 6.4); die betreffenden Liegenschaften dienen dann zwar weiterhin einem BGE 148 II 259 S. 270 Vorsorgezweck, werden jedoch veräussert (vgl. E. 6.4.1 hiervor) und haben damit einen anderen "Destinatärskreis". Ebenfalls nicht anwendbar ist Art. 80 Abs. 4 BVG bei einer blossen Ersatzbeschaffung, bei dem nicht die Reorganisation des gesamten Betriebs oder Teilbetriebs in Frage steht (vgl. Urteil 2C_340/2011 vom 1. Februar 2012 E. 2.3).</w:t>
      </w:r>
    </w:p>
    <w:p>
      <w:r>
        <w:rPr>
          <w:b/>
        </w:rPr>
        <w:t>E. 6.4.4</w:t>
      </w:r>
    </w:p>
    <w:p>
      <w:r>
        <w:t>Keine weiteren Erkenntnisse ergeben sich aus dem Urteil 2C_945/2013 vom 22. Mai 2014, in dem mit Blick auf die Handänderungssteuer des Kantons Basel-Stadt ebenfalls die Frage zu beurteilen war, inwiefern ein "Immobilien Asset Swap" unter den Begriff der "Aufteilung" (vgl. § 4 Abs. 1 lit. e des Gesetzes des Kantons Basel-Stadt vom 26. Juni 1996 über die Handänderungssteuer in der bis 8. Dezember 2004 gültigen Fassung) fallen kann. Zum einen beurteilte das Bundesgericht die (verneinende) Antwort der letzten kantonalen Instanz in jenem Urteil nur unter Willkürgesichtspunkten (vgl. Urteil 2C_945/2013 vom 22. Mai 2014 E. 3); zum anderen erwog das kantonale Urteil in jenem Fall ausdrücklich, dass die betreffende Bestimmung des kantonalen Handänderungssteuerrechts enger gefasst sei als die Bestimmung von Art. 80 Abs. 4 BVG (vgl. Urteil 2C_945/2013 vom 22. Mai 2014 E. 3.2).</w:t>
      </w:r>
    </w:p>
    <w:p>
      <w:r>
        <w:rPr>
          <w:b/>
        </w:rPr>
        <w:t>E. 6.4.5</w:t>
      </w:r>
    </w:p>
    <w:p>
      <w:r>
        <w:t>Damit fragt sich, ob die hier interessierende Transaktion als "Aufteilung" im Sinne von Art. 80 Abs. 4 BVG angesehen werden kann.</w:t>
      </w:r>
    </w:p>
    <w:p>
      <w:r>
        <w:rPr>
          <w:b/>
        </w:rPr>
        <w:t>E. 6.4.5.1</w:t>
      </w:r>
    </w:p>
    <w:p>
      <w:r>
        <w:t>Festzustellen ist im Ausgangspunkt, dass die Beschwerdegegnerin mit der hier interessierenden Transaktion ihren gesamten Immobilienbestand übertragen und nicht eine blosse Ersatzbeschaffung vorgenommen hat. Sie hält die streitbetroffenen Immobilien seit der Übertragung auf die Zürich Anlagestiftung nicht mehr direkt, sondern nur noch indirekt, indem sie über Ansprüche an der Anlagegruppe "I." der Zürich Anlagestiftung verfügt; an der betreffenden Anlagegruppe der Zürich Anlagestiftung sind neben der Beschwerdegegnerin überdies noch weitere Vorsorgeeinrichtungen berechtigt. Gemäss den verbindlichen Feststellungen der Vorinstanz bezweckt die Zürich Anlagestiftung die kollektive Anlage und Verwaltung von ausschliesslich der Personalvorsorge dienendem Vermögen (vgl. auch Sachverhalt Bst. A.b). Auch wenn die streitbetroffenen Liegenschaften nicht mehr allein der beruflichen Vorsorge der Arbeitnehmerinnen und Arbeitnehmer der Unternehmen A. dienen, sondern auch derjenigen von Arbeitnehmerinnen und BGE 148 II 259 S. 271 Arbeitnehmern anderer Arbeitgeber, kann damit - im Unterschied etwa zu Liegenschaftsverkäufen zwischen verschiedenen Vorsorgeeinrichtungen (vgl. E. 6.4.3 hiervor) - gesagt werden, dass die Liegenschaften im bisherigen Vorsorgekreislauf verhaftet bleiben; zusammen genommen verfügen die Vorsorgeeinrichtungen, die an der Anlagegruppe "I." beteiligt sind, nach der hier interessierenden Transaktion über nicht mehr und nicht weniger als vor der jeweiligen Übertragung der Grundstücke auf die Zürich Anlagestiftung.</w:t>
      </w:r>
    </w:p>
    <w:p>
      <w:r>
        <w:rPr>
          <w:b/>
        </w:rPr>
        <w:t>E. 6.4.5.2</w:t>
      </w:r>
    </w:p>
    <w:p>
      <w:r>
        <w:t>Die Arbeitnehmerinnen und Arbeitnehmer, die bei der Beschwerdegegnerin angeschlossen sind, profitieren von der vorliegend interessierenden "Umstrukturierung" insofern, als sie (indirekt) an den Erträgen weiterer Liegenschaften beteiligt werden, die von anderen Vorsorgeeinrichtungen in die Zürich Anlagestiftung eingebracht worden sind. Durch die breitere Streuung ist für sie das Anlagerisiko erheblich vermindert (vgl. in diesem Zusammenhang insbesondere die Vorschrift von Art. 54b Abs. 1 der Verordnung vom 18. April 1984 über die berufliche Alters-, Hinterlassenen- und Invalidenvorsorge [BVV 2; SR 831.441.1] , wonach sich Anlagen in Immobilien bezogen auf das Gesamtvermögen höchstens auf 5 Prozent pro Immobilie belaufen dürfen); zudem besteht die Aussicht, dass sich aufgrund des bei der Zürich Anlagestiftung zusammengefassten Immobilienbestands Skalierungseffekte ergeben, durch die sich der auf dem Vorsorgevermögen anfallende Verwaltungsaufwand vermindern lässt. Insofern kann gesagt werden, dass der Entscheid des Stiftungsrats der Beschwerdegegnerin, die streitbetroffenen Grundstücke in die Zürich Anlagestiftung einzubringen, den Anlagegrundsätzen der angemessenen Risikoverteilung, der Sicherheit und des genügenden Ertrags entspricht ( Art. 71 Abs. 1 BVG ; vgl. auch Art. 50 Abs. 2 und 3 BVV 2 ). Es würde dem gesetzgeberischen Zweckgedanken (vgl. E. 6.4.2 hiervor) zuwiderlaufen, Transaktionen von der Art der vorliegenden mit Grundstückgewinnsteuern zu belasten (so auch MAUTE/STEINER/RUFENER/LANG, a.a.O., S. 137; OLIVIER MARGRAF, Steuerfolgen im Zusammenhang mit der Übertragung von Liegenschaften zwischen [steuerbefreiten] Vorsorgeeinrichtungen, StR 66/2011 S. 748 ff., S. 750; LUDWIG/TAROLLI SCHMIDT, in: Zürcher Kommentar zum FusG, Frank Vischer [Hrsg.], 2. Aufl. 2012, Anhang: Steuern / Fusion, Umwandlung und Vermögensübertragung von Vorsorgeeinrichtungen, Rz. 1 Fn. 2; Bericht des Bundesrates in Erfüllung des Postulats Kaufmann [03.3175] vom 21. März 2003, März 2006, S. 12 f.). BGE 148 II 259 S. 272</w:t>
      </w:r>
    </w:p>
    <w:p>
      <w:r>
        <w:rPr>
          <w:b/>
        </w:rPr>
        <w:t>E. 6.5</w:t>
      </w:r>
    </w:p>
    <w:p>
      <w:r>
        <w:t>Die Vorinstanz hat nach dem Gesagten zu Recht angenommen, dass vorliegend der Steueraufschubtatbestand von Art. 80 Abs. 4 BVG erfüllt ist. Ob daneben auch aufgrund von § 67 Abs. 1 StG /ZH von der Steuerneutralität der streitbetroffenen Transaktion auszugehen ist, kann offenbleiben.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