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198</w:t>
      </w:r>
    </w:p>
    <w:p>
      <w:r>
        <w:t>Bundesgericht (BGE), 2021-01-01, DE</w:t>
      </w:r>
    </w:p>
    <w:p>
      <w:r>
        <w:rPr>
          <w:b/>
        </w:rPr>
        <w:t xml:space="preserve">Quelle: </w:t>
      </w:r>
      <w:r>
        <w:t>https://mcp.opencaselaw.ch/entscheid/bge_BGE_148_II_198</w:t>
      </w:r>
    </w:p>
    <w:p>
      <w:r>
        <w:t>FR: ATF 148 II 198</w:t>
      </w:r>
    </w:p>
    <w:p>
      <w:r>
        <w:t>IT: DTF 148 II 198</w:t>
      </w:r>
    </w:p>
    <w:p>
      <w:pPr>
        <w:pStyle w:val="Heading2"/>
      </w:pPr>
      <w:r>
        <w:t>Regeste</w:t>
      </w:r>
    </w:p>
    <w:p>
      <w:r>
        <w:t>Regeste Festlegung des Gewässerraums der Muota im BLN-Gebiet Nr. 1606 gemäss Art. 41a Abs. 1 GSchV. Die Mindestbreite des Gewässerraums eines Fliessgewässers bestimmt sich in Landschaften von nationaler Bedeutung nach Art. 41a Abs. 1 (und nicht Abs. 2) GSchV, wenn für das Gebiet gewässerbezogene Schutzziele gelten. Dies ist vorliegend der Fall: Das Objektblatt für das BLN-Gebiet Nr. 1606 enthält Schutzziele für die Gewässer und ihre Uferräume; diese sind auch auf das Teilgebiet Rigi, in dem sich die Muota befindet, anwendbar (E. 4).</w:t>
      </w:r>
    </w:p>
    <w:p>
      <w:r>
        <w:t>Regeste Détermination de l'espace réservé aux eaux de la Muota, dans l'objet IFP n° 1606, conformément à l'art. 41a al. 1 OEaux. Dans les sites paysagers d'importance nationale, la largeur minimale de l'espace réservé aux eaux d'un cours d'eau est déterminée selon l'art. 41a al. 1 (et non pas al. 2) OEaux, lorsque des objectifs de protection des cours d'eau s'appliquent à la zone. Tel est le cas en l'espèce: la description de l'objet IFP n° 1606 renferme des objectifs de protection pour les cours d'eau et les berges; ces derniers sont également applicables à la sous-région Rigi, dans laquelle s'écoule la Muota (consid. 4).</w:t>
      </w:r>
    </w:p>
    <w:p>
      <w:r>
        <w:t>Regesto Determinazione dello spazio riservato alle acque della Muota nell'oggetto IFP n° 1606 secondo l'art. 41a cpv. 1 OPAc. Nei paesaggi d'importanza nazionale la larghezza minima dello spazio riservato ai corsi d'acqua è fissata dall'art. 41a cpv. 1 (e non cpv. 2) OPAc, qualora per la zona si applichino obiettivi di protezione riferiti alle acque. Ciò è il caso nella fattispecie: la descrizione dell'oggetto IFP n° 1606 contiene obiettivi di protezione riferiti alle acque e alle loro sponde; questi sono applicabili anche all'area parziale Rigi, dove è ubicata la Muota (consid. 4).</w:t>
      </w:r>
    </w:p>
    <w:p>
      <w:pPr>
        <w:pStyle w:val="Heading2"/>
      </w:pPr>
      <w:r>
        <w:t>Erwägungen</w:t>
      </w:r>
    </w:p>
    <w:p>
      <w:r>
        <w:rPr>
          <w:b/>
        </w:rPr>
        <w:t>E. 4</w:t>
      </w:r>
    </w:p>
    <w:p>
      <w:r>
        <w:t>Streitig ist zunächst, welche Bestimmung vorliegend zur Anwendung kommt: Das Verwaltungsgericht hielt Art. 41a Abs. 2 GSchV (SR 814.201) für einschlägig; die Beschwerdeführer und das Bundesamt für Umwelt (BAFU) verlangen eine Berechnung nach Art. 41a Abs. 1 GSchV .</w:t>
      </w:r>
    </w:p>
    <w:p>
      <w:r>
        <w:rPr>
          <w:b/>
        </w:rPr>
        <w:t>E. 4.1</w:t>
      </w:r>
    </w:p>
    <w:p>
      <w:r>
        <w:t>Abs. 1 ist anwendbar in Biotopen von nationaler Bedeutung, in kantonalen Naturschutzgebieten, in Moorlandschaften von besonderer Schönheit und nationaler Bedeutung, in Wasser- und Zugvogelreservaten von internationaler oder nationaler Bedeutung sowie, bei gewässerbezogenen Schutzzielen, in Landschaften von nationaler Bedeutung und kantonalen Landschaftsschutzgebieten. Der streitige Abschnitt der Muota liegt im BLN-Gebiet Nr. 1606, d.h. in einer Landschaft von nationaler Bedeutung. Im Objektblatt (Ziff. 3) werden die Schutzziele für das gesamte Inventargebiet definiert. Diese enthalten verschiedene Ziele, die sich (nur oder auch) auf Gewässer beziehen: 3.2 Die vielfältige Seen- und Berglandschaft in ihrer Authentizität erhalten. (...) 3.5 Das Mosaik aus gestalteten und genutzten Landschaften und natürlichen Lebensräumen erhalten. 3.6 Die Feucht- und Trockenlebensräume in ihrer Qualität sowie ökologischen Funktion und mit ihren charakteristischen Pflanzen- und Tierarten erhalten. 3.7 Die Gewässer und ihre Lebensräume in einem natürlichen und naturnahen Zustand erhalten. BGE 148 II 198 S. 201 3.8 Die natürlichen Seeufer, die Flachwasserzonen und die Unterwasserwiesen mit ihren charakteristischen Pflanzen- und Tierarten erhalten. (...) 3.10 Die ökologische Vernetzung der Lebensräume erhalten. Für den Teilraum 3 Rigi werden in Ziff. 9 mehrere nicht gewässerbezogene Schutzziele aufgeführt und abschliessend festgehalten: Die Schutzziele für das gesamte Gebiet des BLN-Objektes 1606 sind auch für diesen Teilraum gültig.</w:t>
      </w:r>
    </w:p>
    <w:p>
      <w:r>
        <w:rPr>
          <w:b/>
        </w:rPr>
        <w:t>E. 4.2</w:t>
      </w:r>
    </w:p>
    <w:p>
      <w:r>
        <w:t>Das Verwaltungsgericht ging davon aus, dass für den Teilraum Rigi - anders als für den Teilraum 6 (Kernwald und Alpnachersee) - spezifische gewässerbezogene Schutzziele fehlten. Zwar werde ausdrücklich auf die Geltung der allgemeinen Schutzziele verwiesen. Dieser Verweis finde sich jedoch gleichermassen bei den Schutzzielen aller sechs Teilräume. Das BLN-Objekt Nr. 1606 sei mit einer Fläche von rund 37 km 2 sehr gross und heterogen; den allgemeinen Schutzzielen komme daher nur Leitliniencharakter zu; sie könnten nicht Geltung für den gesamten Perimeter beanspruchen (mit Verweis auf SCHIBLI/BÜHL, Revision der VBLN und zu erwartende Auswirkungen, URP 2016 S. 671). Würde man der Auffassung der Beschwerdeführer folgen, wäre im Bereich des gesamten BLN-Objekts die Gewässerraumausscheidung undifferenziert nach Art. 41a Abs. 1 GSchV vorzunehmen. Ein solch pauschales Vorgehen könne jedoch nicht Sinn und Zweck dieser Bestimmung entsprechen und würde die spezifischen gewässerbezogenen Schutzziele der Teilräume weitgehend obsolet machen. Der Regierungsrat und die Gemeinde Ingenbohl teilen diese Auffassung: Es wäre realitätsfremd, im gesamten BLN-Gebiet Nr. 1606, das auch grössere Siedlungsgebiete umfasse, die Gewässerräume nach Art. 41a Abs. 1 GSchV festzulegen.</w:t>
      </w:r>
    </w:p>
    <w:p>
      <w:r>
        <w:rPr>
          <w:b/>
        </w:rPr>
        <w:t>E. 4.3</w:t>
      </w:r>
    </w:p>
    <w:p>
      <w:r>
        <w:t>Art. 41a Abs. 1 GSchV verlangt gewässerbezogene Schutzziele. Vorliegend beziehen sich die Ziff. 3.2, 3.7 und 3.8 des betreffenden Objektblatts explizit auf Gewässer und ihre Lebensräume; weitere Schutzziele (z.B. Ziff. 3.6 Feuchtlebensräume, Ziff. 3.10 ökologische Vernetzung) sind zumindest auch auf die Gewässer und ihre Uferräume anwendbar. Diese Schutzziele sind auf das Teilgebiet Rigi, in der sich die Muota befindet, anwendbar: Zum einen wird in Ziff. 9 ausdrücklich auf die allgemeinen Schutzziele verwiesen; zum anderen beziehen sich diese z.T. auf Lebensräume (wie die in Ziff. 3.8 genannten Flachwasserzonen und Unterwasserwiesen), die nur im BGE 148 II 198 S. 202 Teilgebiet Rigi vorkommen (vgl. Objektblatt Ziff. 8.3 S. 18). Die vom Verwaltungsgericht zitierte Aussage von SCHIBLI/BÜHL bezieht sich auf die allgemeinen Schutzziele nach Art. 5 Abs. 2 der Verordnung vom 29. März 2017 über das Bundesinventar der Landschaften und Naturdenkmäler (VBLN; SR 451.11) und nicht auf die im Objektblatt für jedes BLN-Objekt verbindlich festgelegten spezifischen Schutzziele (vgl. Art. 1 Abs. 2 VBLN und SCHIBLI/BÜHL, a.a.O., S. 671 und 675 f.).</w:t>
      </w:r>
    </w:p>
    <w:p>
      <w:r>
        <w:rPr>
          <w:b/>
        </w:rPr>
        <w:t>E. 4.4</w:t>
      </w:r>
    </w:p>
    <w:p>
      <w:r>
        <w:t>Die breiteren Gewässerräume gemäss Art. 41a Abs. 1 GSchV gewährleisten die Freihaltung des für die Förderung der Biodiversität erforderlichen minimalen Raumbedarfs und dessen extensive Bewirtschaftung (vgl. Art. 41c Abs. 1, 3 und 4 GSchV ). Dies ist grundsätzlich auch innerhalb von Siedlungsgebieten sinnvoll. Bestehende Bauten geniessen ohnehin Bestandesschutz (vgl. Art. 41c Abs. 2 GSchV ), und es besteht die Möglichkeit, den Gewässerraum in dicht überbauten Gebieten (z.B. Zentrumsgebieten) zu reduzieren (vgl. Art. 41a Abs. 4 lit. a GSchV ) und Ausnahmebewilligungen zu erteilen (vgl. Art. 41c Abs. 1 lit. a und a bis GSchV).</w:t>
      </w:r>
    </w:p>
    <w:p>
      <w:r>
        <w:rPr>
          <w:b/>
        </w:rPr>
        <w:t>E. 4.5</w:t>
      </w:r>
    </w:p>
    <w:p>
      <w:r>
        <w:t>Nach dem Gesagten ist vorliegend Art. 41a Abs. 1 GSchV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