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182</w:t>
      </w:r>
    </w:p>
    <w:p>
      <w:r>
        <w:t>Bundesgericht (BGE), 2021-01-01, DE</w:t>
      </w:r>
    </w:p>
    <w:p>
      <w:r>
        <w:rPr>
          <w:b/>
        </w:rPr>
        <w:t xml:space="preserve">Quelle: </w:t>
      </w:r>
      <w:r>
        <w:t>https://mcp.opencaselaw.ch/entscheid/bge_BGE_148_II_182</w:t>
      </w:r>
    </w:p>
    <w:p>
      <w:r>
        <w:t>FR: ATF 148 II 182</w:t>
      </w:r>
    </w:p>
    <w:p>
      <w:r>
        <w:t>IT: DTF 148 II 182</w:t>
      </w:r>
    </w:p>
    <w:p>
      <w:pPr>
        <w:pStyle w:val="Heading2"/>
      </w:pPr>
      <w:r>
        <w:t>Regeste</w:t>
      </w:r>
    </w:p>
    <w:p>
      <w:r>
        <w:t>Regeste Art. 1, 2 und 5 VStrR; Art. 25 und 26 StGB; Art. 2, 4 Abs. 1, Art. 5, 30 Abs. 1, Art. 49a Abs. 1, Art. 50, 54 f., 57 KG. Hinweis auf die in der Hauptsache ergangenen Entscheide (publizierter Entscheid: BGE 147 II 72). Im vorliegenden Fall stellt sich die Frage, ob bei diesen Entscheiden die Beschwerdegegnerinnen als Gehilfinnen mitgewirkt haben und sie dafür sanktioniert werden können (E. 2). Das KG kennt das Wort "Gehilfe" bzw. "Gehilfenschaft" nicht. Zwei Konstellationen sind im vorliegenden Fall denkbar: erstens über den Hinweis im KG auf das VStrR, wenn einem vorgängig erlassenen Entscheid zuwider gehandelt wurde; zweitens, wenn sich ein Unternehmen an einer unzulässigen Abrede nach Art. 5 Abs. 4 KG beteiligt hat (E. 3.3). Subsumtion (E. 3.4).</w:t>
      </w:r>
    </w:p>
    <w:p>
      <w:r>
        <w:t>Regeste Art. 1, 2 et 5 DPA; art. 25 et 26 CP; art. 2, 4 al. 1, art. 5, 30 al. 1, art. 49a al. 1, art. 50, 54 s., 57 LCart. Référence aux arrêts rendus dans l'affaire principale (arrêt publié: ATF 147 II 72). Dans le cas d'espèce, la question qui se pose est de savoir si, dans ces arrêts, les intimées ont participé en tant que complices et si elles peuvent être sanctionnées pour cela (consid. 2). La LCart ne connaît pas le terme de "complice", respectivement celui de "complicité". Deux constellations sont envisageables dans le cas d'espèce: la première, par référence de la LCart au DPA, est celle dans laquelle il a été contrevenu à une décision rendue précédemment; la seconde est celle dans laquelle une entreprise a participé à un accord illicite selon l'art. 5 al. 4 LCart (consid. 3.3). Subsomption (consid. 3.4).</w:t>
      </w:r>
    </w:p>
    <w:p>
      <w:r>
        <w:t>Regesto Art. 1, 2 e 5 DPA; art. 25 e 26 CP; art. 2, 4 cpv. 1, art. 5, 30 cpv. 1, art. 49a cpv. 1, art. 50, 54 seg., 57 LCart. Riferimento alle sentenze emanate nella causa principale (sentenza pubblicata: DTF 147 II 72). Nella fattispecie, si pone la questione di sapere se in queste sentenze le opponenti abbiano partecipato quali "complici" e se possano essere sanzionate per tale motivo (consid. 2). I termini di "complice" rispettivamente di "complicità" sono estranei alla LCart. In concreto due costellazioni entrano in considerazione: la prima, per via del rinvio della LCart al DPA, è quella in cui una decisione emanata in precedenza è stata disattesa; la seconda, è quella ove un'impresa ha partecipato ad un accordo illecito ai sensi dell'art. 5 cpv. 4 LCart (consid. 3.3). Sussunzione (consid. 3.4).</w:t>
      </w:r>
    </w:p>
    <w:p>
      <w:pPr>
        <w:pStyle w:val="Heading2"/>
      </w:pPr>
      <w:r>
        <w:t>Erwägungen</w:t>
      </w:r>
    </w:p>
    <w:p>
      <w:r>
        <w:rPr>
          <w:b/>
        </w:rPr>
        <w:t>E. 2</w:t>
      </w:r>
    </w:p>
    <w:p>
      <w:r>
        <w:t>Das Bundesgericht hat in der Hauptsache mit den Urteilen 2C_145/2018 vom 7. Oktober 2021, 2C_147/2018 vom 7. Oktober 2021 und BGE 147 II 72 entschieden, dass zwischen den einzelnen Herstellern und den Verkaufsstellen eine Abrede in Form einer abgestimmten Verhaltensweise vorliegt, die den Wettbewerb auf dem Medikamentenmarkt für erektile Dysfunktion erheblich beeinträchtigt und sich nicht durch Gründe der wirtschaftlichen Effizienz rechtfertigen lässt, weshalb die drei Hersteller nach Art. 49a Abs. 1 KG sanktioniert wurden. Diese erfüllen als Täter sowohl den objektiven als auch den subjektiven Tatbestand. Im vorliegenden Verfahren stellt sich die Frage, ob die Beschwerdegegnerinnen als Gehilfinnen der oder einer der Abredeparteien an der Abrede mitgewirkt haben und gegen sie Massnahmen erlassen bzw. allenfalls dafür sanktioniert werden können. Mit der Verfügung vom 2. November 2009 hielt die WEKO in Ziff. 3 des Dispositivs fest, dass die Beschwerdegegnerinnen "bezüglich dieser Publikumspreisempfehlungen keine Gehilfenhandlungen [...] mehr vornehmen [dürfen]". Begründet wurde dies mit einem Hinweis auf Art. 1, 2 und 5 VStrR (SR 313.0) und Art. 25 und 26 StGB . In den Erwägungen führte die WEKO aus, dass die Beschwerdegegnerinnen Gehilfinnen, aber mangels genügend schwerem Tatbeitrag nicht nach Art. 49a Abs. 1 KG zu sanktionieren seien. In der Replik hat der Beschwerdeführer Art. 30 Abs. 1 KG als rechtliche Grundlage für die verfügten Massnahmen erwähnt.</w:t>
      </w:r>
    </w:p>
    <w:p>
      <w:r>
        <w:rPr>
          <w:b/>
        </w:rPr>
        <w:t>E. 3.1</w:t>
      </w:r>
    </w:p>
    <w:p>
      <w:r>
        <w:t>Das Kartellgesetz bezweckt, volkswirtschaftlich oder sozial schädliche Auswirkungen von Kartellen und anderen Wettbewerbsbeschränkungen BGE 148 II 182 S. 186 zu verhindern und damit den Wettbewerb im Interesse einer freiheitlichen marktwirtschaftlichen Ordnung zu fördern ( Art. 1 KG ). Die Umsetzung dieses Zwecks erfolgt durch Regelungen zu Abreden ( Art. 5 KG ), zu Verhaltensweisen marktbeherrschender Unternehmen ( Art. 7 KG ) sowie zu Unternehmenszusammenschlüssen (Art. 9 f. KG) und hauptsächlich in der Form des Verwaltungsrechts und von Verwaltungsverfahren - wie auch im vorliegenden Fall. Das Kartellrecht als Verwaltungsrecht auferlegt seinen Adressaten zahlreiche Pflichten. Zur Sicherstellung der Erfüllung dieser Verwaltungspflichten hat der Gesetzgeber präventive und repressive Verwaltungsmassnahmen bzw. verwaltungsrechtliche Sanktionen ( Art. 30 Abs. 1, Art. 49a Abs. 1 und Art. 50 KG ), aber auch Strafen (Art. 54 f. KG) vorgesehen, mit denen die verwaltungsrechtlichen Gebote und Verbote durchgesetzt werden sollen.</w:t>
      </w:r>
    </w:p>
    <w:p>
      <w:r>
        <w:rPr>
          <w:b/>
        </w:rPr>
        <w:t>E. 3.2</w:t>
      </w:r>
    </w:p>
    <w:p>
      <w:r>
        <w:t>Dem vorliegenden Fall liegt eine Abrede in Form einer abgestimmten Verhaltensweise zugrunde. Die Abrede erfolgte zwischen den Herstellern von Medikamenten gegen erektile Dysfunktion und den Verkaufsstellen ( BGE 147 II 72 E. 5.7). Die Beschwerdegegnerinnen sind das Scharnier zwischen den Abredeparteien, da sie im Wesentlichen das Informatikprogramm den Verkaufsstellen zur Verfügung stellen. Gestützt darauf hat die WEKO die Beschwerdegegnerinnen verpflichtet, in Zukunft weitere "Gehilfenhandlungen" zu unterlassen (siehe vorne Bst. B, Ziff. 3 des Dispositivs).</w:t>
      </w:r>
    </w:p>
    <w:p>
      <w:r>
        <w:rPr>
          <w:b/>
        </w:rPr>
        <w:t>E. 3.3.1</w:t>
      </w:r>
    </w:p>
    <w:p>
      <w:r>
        <w:t>Das KG kennt textlich weder das Wort "Gehilfe" noch das Wort "Gehilfenhandlung". Im Rahmen des KG gibt es indes grundsätzlich zwei - nachfolgend darzustellende - Konstellationen (siehe E. 3.3.2 und 3.3.3), bei welchen von einem Gehilfen bzw. von Gehilfenschaft gesprochen werden kann:</w:t>
      </w:r>
    </w:p>
    <w:p>
      <w:r>
        <w:rPr>
          <w:b/>
        </w:rPr>
        <w:t>E. 3.3.2</w:t>
      </w:r>
    </w:p>
    <w:p>
      <w:r>
        <w:t>In Art. 54 ff. KG sind die Strafsanktionen geregelt, welche in Form einer Busse ergehen. Für die Verfolgung und die Beurteilung verweist Art. 57 KG auf das VStrR. Art. 5 VStrR kennt die Rechtsfigur der Gehilfenschaft. Gehilfenschaft zu einer Übertretung nach Art. 54 bzw. 55 KG wäre strafbar (vgl. auch RIEDO/NIGGLI, in: Basler Kommentar, Kartellgesetz, [nachfolgend: BSK KG], Amstutz/Reinert [Hrsg.] 2010, N. 81 zu Art. 54 KG und N. 174 zu Vor Art. 49a-53 KG ). Damit der von der Konstellation her in casu relevante Art. 54 KG aber überhaupt Anwendung finden kann, bedarf es eines vorgängig erlassenen behördlichen Entscheids, dem zuwider gehandelt wurde. BGE 148 II 182 S. 187</w:t>
      </w:r>
    </w:p>
    <w:p>
      <w:r>
        <w:rPr>
          <w:b/>
        </w:rPr>
        <w:t>E. 3.3.3</w:t>
      </w:r>
    </w:p>
    <w:p>
      <w:r>
        <w:t>Adressat von verwaltungsrechtlichen Massnahmen nach Art. 30 KG oder von verwaltungsrechtlichen Sanktionen nach Art. 49a Abs. 1 KG kann nur sein, wer durch das Gesetz angehalten wird, sich wettbewerbskonform zu verhalten. Das KG spricht - wie bereits erwähnt - nicht ausdrücklich vom Gehilfen. "Gehilfe" kann daher nur sein, wer die Voraussetzungen von Art. 4 Abs. 1 i.V.m. Art. 2 i.V.m. Art. 5 KG erfüllt. Im vorliegenden Fall heisst dies: Unternehmen, die sich i.S. von Art. 5 KG unzulässigerweise aufeinander abgestimmt haben; oder in den Worten von Art. 49a Abs. 1 KG : Unternehmen, die sich an einer unzulässigen Abrede nach Art. 5 Abs. 4 beteiligt haben. Neben den Hauptakteuren können unter bestimmten Voraussetzungen - wie auch im Rahmen von Art. 101 Abs. 1 AEUV - weitere Akteure als Gesetzesadressaten verstanden werden (siehe dazu etwa die rechtliche Auseinandersetzung von BENEDIKT SCHWARZKOPF, Externe Kartellunterstützer im Europäischen Kartellrecht, 2018, S. 69 ff. mit zahlreichen Hinweisen auf die Auseinandersetzung in der EU). Auch wenn die Massnahme nach Art. 49a Abs. 1 KG strafrechtsähnlich ist und damit gewisse strafrechtliche Grundsätze anwendbar sind (vgl. BGE 146 II 217 E. 8.2, E. 8.5; Urteil 2C_845/2018 vom 3. August 2020 E. 4.1.3), bleibt das kartellrechtliche Verfahren ein Verwaltungsverfahren ( BGE 145 II 259 E. 2.6.2; BGE 144 II 194 E. 4.4.2; BGE 142 II 268 E. 4.2.5.2). Die Anwendbarkeit der strafrechtsähnlichen Grundsätze stützen sich direkt auf die EMRK und nicht auf das Bundesgesetz über das Verwaltungsstrafrecht. Art. 5 VStrR ist deshalb nicht anwendbar. Das Gleiche würde auch für Art. 333 Abs. 1 StGB gelten, wobei in diesem Fall Art. 105 Abs. 2 StGB die Gehilfenschaft ohnehin nur in den vom Gesetz ausdrücklich bestimmten Fällen bestraft, was bei Art. 49a Abs. 1 KG nicht zutrifft.</w:t>
      </w:r>
    </w:p>
    <w:p>
      <w:r>
        <w:rPr>
          <w:b/>
        </w:rPr>
        <w:t>E. 3.4.1</w:t>
      </w:r>
    </w:p>
    <w:p>
      <w:r>
        <w:t>Die Verfügung vom 2. November 2009 ist nicht Folge davon, dass die Beschwerdeführerinnen gegen eine vorgängig erlassene Verfügung der WEKO bzw. einen Entscheid einer Rechtsmittelinstanz zuwider gehandelt haben (erste Konstellation [oben E. 3.3.2]). Demnach sind Art. 54 KG und Art. 5 VStrR mit dem Begriff der Gehilfenschaft nicht anwendbar. Insofern bleibt zu prüfen, ob sich aus der zweiten Konstellation (oben E. 3.3.3) eine Grundlage ergibt, um die Beschwerdegegnerinnen zu Massnahmen (bzw. allenfalls zu Sanktionen) zu verpflichten. BGE 148 II 182 S. 188</w:t>
      </w:r>
    </w:p>
    <w:p>
      <w:r>
        <w:rPr>
          <w:b/>
        </w:rPr>
        <w:t>E. 3.4.2</w:t>
      </w:r>
    </w:p>
    <w:p>
      <w:r>
        <w:t>Indem die WEKO die Beschwerdegegnerinnen verpflichtet hat, in Zukunft weitere Gehilfenhandlungen zu unterlassen, nimmt sie Bezug auf angeblich in der Vergangenheit erfolgte unzulässige Handlungen. Sie hat indessen bloss kurz und bündig festgehalten, dass die Beschwerdegegnerinnen Gehilfinnen mindestens einer der Abredeparteien seien, den diesbezüglichen Sachverhalt jedoch nicht einmal ansatzweise abgeklärt. Das Bundesverwaltungsgericht hat aufgrund seines Verständnisses, dass keine Wettbewerbsabrede vorliege, den Sachverhalt ebenfalls nicht festgestellt. Es liegt nicht am Bundesgericht, dies nachzuholen (vgl. Art. 97 Abs. 1, Art. 105 Abs. 2 BGG ). Da das Bundesgericht Fälle zu beurteilen hat, welche sich auf einen genügend erstellten Sachverhalt stützen müssen, ist es auch nicht Aufgabe des Bundesgerichts, unabhängig von einem genügend erstellten Sachverhalt in einem konkreten Fall rechtliche Ausführungen zu möglichen Konstellationen zu machen. Da die WEKO den für die Beurteilung der Gehilfenschaft notwendigen Sachverhalt nicht einmal ansatzweise festgestellt hat, erübrigt sich auch der Eventualantrag des Beschwerdeführers (vgl. Urteil 2C_1016/2014 vom 9. Oktober 2017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