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139</w:t>
      </w:r>
    </w:p>
    <w:p>
      <w:r>
        <w:t>Bundesgericht (BGE), 2021-01-01, DE</w:t>
      </w:r>
    </w:p>
    <w:p>
      <w:r>
        <w:rPr>
          <w:b/>
        </w:rPr>
        <w:t xml:space="preserve">Quelle: </w:t>
      </w:r>
      <w:r>
        <w:t>https://mcp.opencaselaw.ch/entscheid/bge_BGE_148_II_139</w:t>
      </w:r>
    </w:p>
    <w:p>
      <w:r>
        <w:t>FR: ATF 148 II 139</w:t>
      </w:r>
    </w:p>
    <w:p>
      <w:r>
        <w:t>IT: DTF 148 II 139</w:t>
      </w:r>
    </w:p>
    <w:p>
      <w:pPr>
        <w:pStyle w:val="Heading2"/>
      </w:pPr>
      <w:r>
        <w:t>Regeste</w:t>
      </w:r>
    </w:p>
    <w:p>
      <w:r>
        <w:t>Regeste Art. 9 BV, Art. 13, 14, 16 und 22 RPG, Art. 32 Abs. 1 lit. a FIFG, Art. 126 Abs. 3 MG, Art. 37 Abs. 4 und Art. 37m Abs. 1 LFG, Art. 30a VIL; Zulässigkeit eines kantonalen Gestaltungsplans für den Innovationspark Zürich (IPZ) auf dem bisherigen Militärflugplatz Dübendorf. Der kantonale Gestaltungsplan kann sich nicht direkt auf Bundesrecht stützen. Der Innovationspark verfügt jedoch über ein bundesgesetzlich anerkanntes überwiegendes nationales Interesse, das bei der Auslegung und Anwendung der einschlägigen kantonalen Bestimmungen angemessen zu berücksichtigen ist (E. 7). Das anwendbare kantonale Bau- und Planungsrecht sieht den kantonalen Gestaltungsplan vor. Ein solcher ist überdies für den Innovationspark Zürich in der Richtplanung des Kantons vorgesehen und entspricht der Komplexität des Projekts. Die vom Bundesrecht vorgeschriebene Harmonisierung der verschiedenen Verfahren erscheint ohne kantonalen Gestaltungsplan erheblich erschwert. Angesichts der konkreten Verhältnisse erweist sich die einschränkende Auslegung des kantonalen Rechts durch das Verwaltungsgericht des Kantons, wonach der Erlass eines kantonalen Gestaltungsplans für den Innovationspark nicht zulässig ist, als nicht der Situation angepasst und damit als unsachlich bzw. willkürlich (E. 8). Die Zuweisung des Militärflugplatzes Dübendorf in die Landwirtschaftszone erscheint angesichts der bestehenden weitgehenden Überbauung des Flugplatzperimeters, der auch keine Fruchtfolgeflächen enthält, überholt. Der Innovationspark ist im kantonalen Richtplan vorgesehen und befindet sich damit auf zumindest gleicher Stufe wie die allgemeine raumplanerische Grundordnung. Unter Abwägung der einschlägigen Interessen ist es daher zulässig, die Zuordnung des fraglichen Gebiets zur Landwirtschaftszone zu übersteuern (E. 9).</w:t>
      </w:r>
    </w:p>
    <w:p>
      <w:r>
        <w:t>Regeste Art. 9 Cst., art. 13, 14, 16 et 22 LAT, art. 32 al. 1 let. a LERI, art. 126 al. 3 LAAM, art. 37 al. 4 et art. 37m al. 1 LA, art. 30a OSIA; admissibilité d'un plan d'aménagement détaillé cantonal pour le parc d'innovation de Zurich (IPZ) sur le site actuel de l'aérodrome militaire de Dübendorf. Le plan d'aménagement détaillé cantonal ne peut pas s'appuyer directement sur le droit fédéral. Le parc d'innovation dispose toutefois d'un intérêt national prépondérant reconnu par la loi fédérale, qui doit être pris en compte de manière appropriée dans l'interprétation et l'application des dispositions cantonales pertinentes (consid. 7). Le droit cantonal applicable en matière de construction et d'aménagement du territoire prévoit le plan d'aménagement détaillé cantonal. Un tel plan est en outre prévu pour le parc d'innovation de Zurich dans la planification directrice du canton et correspond à la complexité du projet. L'harmonisation des différentes procédures prescrite par le droit fédéral semble considérablement compliquée sans un plan d'aménagement détaillé cantonal. Au vu des circonstances concrètes, l'interprétation restrictive du droit cantonal par le Tribunal administratif du canton de Zurich, selon laquelle l'adoption d'un plan d'aménagement détaillé cantonal pour le parc d'innovation n'est pas autorisée, apparaît inadaptée à la situation et donc inadéquate, respectivement arbitraire (consid. 8). L'affectation en zone agricole du site de l'aérodrome militaire de Dübendorf paraît dépassée, compte tenu du caractère largement construit du périmètre de l'aérodrome, qui ne contient pas non plus de surfaces d'assolement. Le parc d'innovation est prévu dans le plan directeur cantonal et se trouve donc au moins au même niveau que la réglementation générale de l'aménagement du territoire. Sur la base d'une pesée des intérêts en présence, il est dès lors admissible, pour le secteur en question, de déroger à l'affectation à la zone agricole (consid. 9).</w:t>
      </w:r>
    </w:p>
    <w:p>
      <w:r>
        <w:t>Regesto Art. 9 Cost., art. 13, 14, 16 e 22 LPT, art. 32 cpv. 1 lett. a LPRI, art. 126 cpv. 3 LM, art. 37 cpv. 4 e art. 37m cpv. 1 LNA, art. 30a OSIA; ammissibilità di un piano particolareggiato cantonale per il parco dell'innovazione di Zurigo (IPZ) sull'attuale sito dell'aerodromo militare di Dübendorf. Il piano particolareggiato cantonale non può fondarsi direttamente sul diritto federale. Il parco dell'innovazione dispone tuttavia di un interesse nazionale preponderante riconosciuto dalla legge federale, che deve essere adeguatamente preso in considerazione nell'ambito dell'interpretazione e dell'applicazione delle disposizioni cantonali pertinenti (consid. 7). Il diritto cantonale edilizio e pianificatorio applicabile prevede il piano particolareggiato cantonale. Un simile piano è inoltre previsto per il parco dell'innovazione di Zurigo nella pianificazione direttrice del Cantone e corrisponde alla complessità del progetto. L'armonizzazione delle diverse procedure prescritta dal diritto federale appare notevolmente complessa senza un piano particolareggiato cantonale. In considerazione delle concrete circostanze, l'interpretazione restrittiva del diritto cantonale da parte del Tribunale amministrativo del Cantone, secondo cui l'adozione di un piano particolareggiato cantonale per il parco dell'innovazione non è ammessa, risulta inadatta alla situazione e quindi priva di oggettività, rispettivamente arbitraria (consid. 8). L'assegnazione dell'aerodromo militare di Dübendorf alla zona agricola appare superata in considerazione dell'esistente ampia edificazione del perimetro dell'aerodromo, che non contiene nemmeno superfici per l'avvicendamento delle colture. Il parco dell'innovazione è previsto nel piano direttore cantonale e si trova quindi perlomeno allo stesso livello dell'ordinamento pianificatorio di base. Ponderati gli interessi in discussione, è pertanto ammissibile sormontare l'assegnazione del comprensorio in questione alla zona agricola (consid. 9).</w:t>
      </w:r>
    </w:p>
    <w:p>
      <w:pPr>
        <w:pStyle w:val="Heading2"/>
      </w:pPr>
      <w:r>
        <w:t>Erwägungen</w:t>
      </w:r>
    </w:p>
    <w:p>
      <w:r>
        <w:rPr>
          <w:b/>
        </w:rPr>
        <w:t>E. 7.1</w:t>
      </w:r>
    </w:p>
    <w:p>
      <w:r>
        <w:t>In materiell-rechtlicher Hinsicht ist zunächst zu prüfen, ob sich der kantonale Gestaltungsplan direkt auf Bundesrecht stützen kann, das dem kantonalen Recht vorgeht, wie das teilweise von den Beschwerdeführern ausdrücklich oder zumindest sinngemäss geltend gemacht wird.</w:t>
      </w:r>
    </w:p>
    <w:p>
      <w:r>
        <w:rPr>
          <w:b/>
        </w:rPr>
        <w:t>E. 7.2</w:t>
      </w:r>
    </w:p>
    <w:p>
      <w:r>
        <w:t>Nach Art. 13 des Bundesgesetzes vom 22. Juni 1979 über die Raumplanung (Raumplanungsgesetz, RPG; SR 700) erarbeitet der Bund Grundlagen, um seine raumwirksamen Aufgaben erfüllen zu können; er erstellt die nötigen Konzepte und Sachpläne und stimmt sie aufeinander ab (Abs. 1). Er arbeitet mit den Kantonen zusammen und gibt ihnen seine Konzepte, Sachpläne und Bauvorhaben rechtzeitig bekannt (Abs. 2). In gewissen Bereichen regelt die Sachgesetzgebung die Projektierung und Bewilligung von Anlagen des Bundes abschliessend und nimmt sie von der kantonalen und kommunalen Planungs- und Bewilligungspflicht aus. Das betrifft namentlich Bauten der Landesverteidigung (vgl. Art. 126 Abs. 3 des Bundesgesetzes vom 3. Februar 1995 über die Armee und die Militärverwaltung [Militärgesetz, MG; SR 510.10]) und die Flugplätze (vgl. Art. 37 Abs. 4 des Bundesgesetzes vom 21. Dezember 1948 über die Luftfahrt [Luftfahrtgesetz, LFG; SR 748.0]). Allerdings bestimmt Art. 37m Abs. 1 LFG , dass die Errichtung und Änderung von sog. Nebenanlagen, d.h. von Bauten und Anlagen, die nicht ganz oder überwiegend dem Flugplatzbetrieb dienen, dem kantonalen Recht unterstehen. In anderen Bereichen kommen dem Bund lediglich Teilkompetenzen zu, die er unter anderem über den Erlass von Sachplänen wahrnimmt, um damit die Raumnutzung zu steuern (vgl. JEANNERAT/BÜHLMANN, in: Praxiskommentar RPG: Richt- und Sachplanung, Interessenabwägung, Aemisegger und andere [Hrsg.], 2019, N. 10 ff. zu Art. 13 RPG ; WALDMANN/HÄNNI, Raumplanungsgesetz, 2006, N. 3 f. zu Art. 13 RPG ). Nach Art. 30a der Verordnung vom 23. November 1994 über die Infrastruktur der Luftfahrt (VIL; SR 748.131.1) gelten insbesondere für Bauten, die ganz oder überwiegend für die zivile Benützung eines Militärflugplatzes erstellt, geändert oder umgenutzt werden, die Bestimmungen über die BGE 148 II 139 S. 147 zivilen Flugplätze, wobei die Plangenehmigung im Einvernehmen mit dem Eidgenössischen Departement für Verteidigung, Bevölkerungsschutz und Sport (VBS) erteilt wird. Für den Schweizerischen Innovationspark findet sich im Forschungs- und Innovationsförderungsgesetz keine Bestimmung, welche die Projektierung und Bewilligung entsprechender Bauten und Anlagen von der kantonalen und kommunalen Planungs- und Bewilligungspflicht ausnimmt. Vorgesehen sind im Wesentlichen lediglich Unterstützungsmassnahmen durch den Bund (vgl. Art. 32 ff. FIFG ).</w:t>
      </w:r>
    </w:p>
    <w:p>
      <w:r>
        <w:rPr>
          <w:b/>
        </w:rPr>
        <w:t>E. 7.3</w:t>
      </w:r>
    </w:p>
    <w:p>
      <w:r>
        <w:t>Gemäss der Rechtsprechung ist aufgrund der Umstände des Einzelfalles zu bestimmen, ob ein Vorhaben überwiegend dem Betrieb einer der Bundeskompetenz unterliegenden Anlage dient und damit einzig in dessen raumplanerische Zuständigkeit fällt. Das trifft zu, wenn das Projekt baulich und funktionell, namentlich hinsichtlich Standort, Grösse und Zweck, einen unmittelbaren und engen Zusammenhang mit der jeweiligen Anlage aufweist (vgl. BGE 127 II 227 E. 4). Selbst wenn diese Voraussetzung nicht erfüllt ist, kann es sich bei Mischbauten als erforderlich oder sinnvoll erweisen, diese in die Bundesplanung aufzunehmen und mit der kantonalen bzw. kommunalen Planung zu koordinieren (vgl. JEANNERAT/BÜHLMANN, a.a.O., N. 48 f. zu Art. 13 RPG ).</w:t>
      </w:r>
    </w:p>
    <w:p>
      <w:r>
        <w:rPr>
          <w:b/>
        </w:rPr>
        <w:t>E. 7.4</w:t>
      </w:r>
    </w:p>
    <w:p>
      <w:r>
        <w:t>Beim Schweizerischen Innovationspark Zürich handelt es sich weder um eine militärische Baute noch um eine solche der Luftfahrt. Er soll jedoch auf dem Gelände des Militärflugplatzes Dübendorf zusammen mit dessen teilweiser Umnutzung für die Zivilluftfahrt realisiert werden. Für die militärische und luftfahrttechnische Nutzung des Geländes besteht eine ausschliessliche Planungskompetenz des Bundes. Die erste Etappe des Innovationsparks betrifft einen Perimeterbereich, in dem bereits heute verschiedene, vorwiegend militärische, Bauten stehen. Das vermittelt dem Innovationspark jedoch weder einen vorrangig militärischen noch überwiegend zivilaviatischen Charakter. Vielmehr bleibt es davon losgelöst bei einem Forschungs- und Innovationszentrum, das im Wesentlichen aufgrund der geeigneten Ortsverhältnisse auf den Militärflugplatz Dübendorf zu liegen kommen soll, dessen bisherige Nutzung nicht mehr gleichermassen gefragt ist und geändert werden soll. Damit ist nicht davon auszugehen, dass die raumplanerische Zuständigkeit des Innovationsparks Zürich allein dem Bund zusteht und er diese nach eigenem Gutdünken dem Kanton Zürich übertragen kann. BGE 148 II 139 S. 148</w:t>
      </w:r>
    </w:p>
    <w:p>
      <w:r>
        <w:rPr>
          <w:b/>
        </w:rPr>
        <w:t>E. 7.5</w:t>
      </w:r>
    </w:p>
    <w:p>
      <w:r>
        <w:t>Indessen ist nicht zu übersehen, dass das Projekt des Innovationsparks Zürich von der Grösse und Bedeutung her komplexe planerische Anforderungen stellt. Im Forschungs- und Innovationsförderungsgesetz wird dem Schweizerischen Innovationspark ein übergeordnetes nationales Interesse eingeräumt (vgl. Art. 32 Abs. 1 lit. a FIFG ). Der Bund hat überdies sowohl den Sachplan Militär (SPM) zu den räumlichen Konzeptionen der Militärflugplätze und zu den Anlagen in Dübendorf als auch den Sachplan Infrastruktur Luftfahrt (SIL) für die Realisierung des Gesamtprojekts angepasst. Er hat darin ausdrücklich vorgesehen, dass die planerischen Rahmenbedingungen zum Innovationspark Zürich im Richtplan des Kantons Zürich festzulegen sind, und damit die kantonale Planung massgeblich vorgespurt. Insgesamt belegt dies ein erhebliches, ausserordentliches Bundesinteresse an der Planung und Realisierung des Innovationsparks Zürich. Auch wenn die Planungskompetenz des Bundes nicht integral der entsprechenden kantonalen Zuständigkeit vorgeht, ist bei der Auslegung und Anwendung der einschlägigen kantonalen Bestimmungen darauf zu achten, dass solche bedeutenden Bundesinteressen angemessen berücksichtigt werden.</w:t>
      </w:r>
    </w:p>
    <w:p>
      <w:r>
        <w:rPr>
          <w:b/>
        </w:rPr>
        <w:t>E. 8.1</w:t>
      </w:r>
    </w:p>
    <w:p>
      <w:r>
        <w:t>Die Beschwerdeführer rügen, das Verwaltungsgericht habe § 84 Abs. 2 des Planungs- und Baugesetzes des Kantons Zürich vom 7. September 1975 (PBG; LS 700.1) willkürlich ausgelegt und angewendet. Darin finden sich Ausführungen zu den kantonalen öffentlichen Gestaltungsplänen. Namentlich setzt gemäss dem ersten Satz der Bestimmung die zuständige Direktion Gestaltungspläne für Bauten und Anlagen fest. Im angefochtenen Urteil wird dazu im Wesentlichen ausgeführt, im Unterschied zu den kommunalen Gestaltungsplänen sei der zulässige Inhalt von kantonalen Gestaltungsplänen einschränkend zu definieren. § 84 Abs. 2 PBG sei so auszulegen, dass als Gegenstand von überkommunalen Gestaltungsplänen nur Einzelvorhaben, also relativ konkrete einzelne, allenfalls auch mehrere zusammenhängende, aber bereits detailliert definierte Bauten und Anlagen, infrage kommen. Nach § 36 und 39 PBG sei der Kanton Zürich hauptsächlich für die Festsetzung von Landwirtschafts- und Freihaltezonen zuständig. Es stehe ihm nicht zu, mit Gestaltungsplänen grössere Flächen als Bauzonen für relativ unbestimmte künftige Bauprojekte noch unbestimmter Bauherrschaften festzusetzen, wie dies bei allgemeinen (nicht projektbezogenen) Nutzungsplänen gemäss § 47 PBG zutreffe. Dafür seien nach § 2 BGE 148 II 139 S. 149 lit. c in Verbindung mit § 45 PBG einzig die Gemeinden zuständig. Das Verwaltungsgericht stützt seine Auslegung von § 84 Abs. 2 PBG im Wesentlichen auf dessen Wortlaut und Entstehungsgeschichte sowie auf die bisherige Praxis. Im Unterschied zu Abs. 1 der Bestimmung, worin die kommunalen Gestaltungspläne geregelt seien, beschränke der Abs. 2 die kantonalen Gestaltungspläne auf "Bauten und Anlagen". Bei der Gesetzgebung sei dabei von "Bauten", "Objekten" oder "Werken" die Rede gewesen. In der bisherigen Praxis sei es denn auch immer um konkrete Bauten und Anlagen gegangen. Das angefochtene Urteil nennt eine Reihe entsprechender Beispiele.</w:t>
      </w:r>
    </w:p>
    <w:p>
      <w:r>
        <w:rPr>
          <w:b/>
        </w:rPr>
        <w:t>E. 8.2</w:t>
      </w:r>
    </w:p>
    <w:p>
      <w:r>
        <w:t>Nach § 83 PBG werden mit Gestaltungsplänen für bestimmt umgrenzte Gebiete Zahl, Lage, äussere Abmessungen sowie die Nutzweise und Zweckbestimmung der Bauten bindend festgelegt. Dabei darf von den Bestimmungen über die Regelbauweise und von den kantonalen Mindestabständen abgewichen werden (Abs. 1). Für die Projektierung ist ein angemessener Spielraum zu belassen (Abs. 2). Gemäss der gesetzlichen Regelung sind die Grundeigentümer im Perimeter an die Festlegungen eines Gestaltungsplans gebunden. Gestaltungspläne sind Sondernutzungspläne und zählen begrifflich zu den Nutzungsplänen gemäss Art. 14 RPG (vgl. AEMISEGGER/KISSLING, in: Praxiskommentar RPG: Nutzungsplanung, Aemisegger und andere [Hrsg.], 2016, N. 59 ff. zu Vorbemerkungen zur Nutzungsplanung). Sie dienen den gleichen Zielen und sollen die optimale Überbauung eines bestimmten Gebiets ermöglichen. Zu diesem Zweck sehen die Gestaltungspläne für das jeweils erfasste Gebiet eine Spezialbauordnung vor. Bei der Festsetzung eines Gestaltungsplans besteht ein weiter Gestaltungsspielraum ( BGE 135 II 209 E. 5.2). Auch wenn im vorliegenden Fall die einzelnen Bauten noch nicht im Detail umschrieben und deren Bauherrschaften bestimmt sind, handelt es sich doch um ein in sich geschlossenes Gesamtprojekt und nicht um die Schaffung einer Sondernutzungszone, die verschiedenen voneinander konzeptionell unabhängigen Bauten und Anlagen offensteht. Es ist daher von einem sog. projektbezogenen Gestaltungsplan auszugehen, mit dem der Innovationspark Zürich als planungspflichtiges Einzelvorhaben im öffentlichen Interesse realisiert werden soll (vgl. dazu AEMISEGGER/KISSLING, a.a.O., N. 64 ff. zu Vorbemerkungen zur Nutzungsplanung; MICHAEL PLETSCHER, Der Gestaltungsplan i.e.S., 2021, S. 35 ff. Rz. 56 ff.). BGE 148 II 139 S. 150</w:t>
      </w:r>
    </w:p>
    <w:p>
      <w:r>
        <w:rPr>
          <w:b/>
        </w:rPr>
        <w:t>E. 8.3</w:t>
      </w:r>
    </w:p>
    <w:p>
      <w:r>
        <w:t>Wie das Verwaltungsgericht im angefochtenen Entscheid und die Beschwerdeführer in ihren Rechtsschriften nachzeichnen, beruht die Regelung des kantonalen Gestaltungsplans auf der Rechtsprechung des Bundesgerichts, wonach aufgrund der bundesrechtlichen Planungspflicht für grössere Anlagen der Materialgewinnung und -ablagerung nicht nur deren Festlegung im kantonalen Richtplan, sondern zusätzlich auch deren Festlegung in einem Nutzungsplan, idealerweise einem Sondernutzungsplan, verlangt wurde (vgl. BGE 116 Ib 50 "Deponie Chrüzlen"). Mit BGE 116 Ib 50 führte das Bundesgericht das Koordinationsgebot im Bereich der Raumplanung und Umweltschutzgesetzgebung ein. Dieses bezweckt im Wesentlichen die prozessuale und materielle Harmonisierung der verschiedenen Verfahren im Zusammenhang mit einem Bauvorhaben (vgl. auch den inzwischen ergangenen entsprechenden Art. 25a RPG ). Ein kantonaler Gestaltungsplan kann dazu dienen, diese erforderliche Koordination zu gewährleisten, und ist dazu unter Umständen sogar unerlässlich, wenn die nötige Harmonisierung ansonsten kaum möglich oder erheblich erschwert erscheint. Der Erlass eines kantonalen Gestaltungsplans kann sich insofern sinnvoll erweisen für die Umsetzung überkommunaler Projekte, um die Abstimmung und Abwicklung des Vorhabens sicherzustellen und Beeinträchtigungen durch widersprechende kommunale Planungen zu verhindern (vgl. JEANNERAT/MOOR, in: Praxiskommentar RPG: Nutzungsplanung, Aemisegger und andere [Hrsg.], 2016, N. 32 zu Art. 14 RPG ). Aufgrund dieser Rechtsprechung erliess der zürcherische Gesetzgeber in § 44a PBG eine Sonderbestimmung für die Materialgewinnung und -ablagerung. Überdies passte er die § § 84 und 89 PBG an und trug dabei mit der entsprechenden Regelung des kantonalen Gestaltungsplans der bundesgerichtlichen Rechtsprechung Rechnung. Dabei mag es zutreffen, dass in der Regel konkrete Bauvorhaben den Inhalt solcher Pläne bilden. Das vom Verwaltungsgericht genannte Beispiel der Hochbauvorhaben im Hochschulgebiet Zürich-Zentrum belegt jedoch auch, dass ebenfalls grossflächige, von verschiedenen Trägern verfolgte komplexe Projekte davon erfasst sein können.</w:t>
      </w:r>
    </w:p>
    <w:p>
      <w:r>
        <w:rPr>
          <w:b/>
        </w:rPr>
        <w:t>E. 8.4</w:t>
      </w:r>
    </w:p>
    <w:p>
      <w:r>
        <w:t>Der in § 84 Abs. 2 PBG enthaltene Begriff der "Bauten und Anlagen" findet sich bereits in Art. 22 RPG . Die Praxis verfolgt dabei eine weite Auslegung dieses bundesrechtlichen Begriffspaars (vgl. ALEXANDER RUCH, in: Praxiskommentar RPG: Baubewilligung, Rechtsschutz und Verfahren, Aemisegger und andere [Hrsg.], 2020, N. 32 ff. zu Art. 22 RPG ). Zwar ist es nicht ausgeschlossen, dass BGE 148 II 139 S. 151 das kantonale Recht dieselben Begriffe anders verwendet als das Bundesrecht. Bei der Umsetzung der gemeinsam von Bund und Kantonen zu erfüllenden Aufgabe der Raumplanung erscheint eine weitgehende Harmonisierung der Rechtsbegriffe aber sinnvoll. Die Auslegung von § 84 Abs. 2 PBG kann überdies nicht losgelöst von der Grundbestimmung von § 83 PBG erfolgen. Darin wird der Inhalt der Gestaltungspläne in allgemeiner Weise sowohl für solche der Gemeinden als auch des Kantons definiert. Eine Beschränkung auf konkrete Bauten und Anlagen ist nicht vorgesehen. Wenn der Wortlaut von § 84 Abs. 2 PBG diese Begriffe aufnimmt, heisst das daher nicht zwingend, dass damit eine einschränkende Auslegung verbunden ist. Vielmehr ist der entsprechende Satz als Ganzes zu lesen, wonach es um Bauten und Anlagen geht, die im kantonalen oder in einem regionalen Richtplan enthalten sind. Die kantonalen Gestaltungspläne auf konkrete Bauten und Anlagen zu beschränken, nimmt solchen Plänen eine wesentliche Gestaltungsfunktion und führt letztlich zum Wegfall des Gestaltungsspielraums, der sie grundsätzlich kennzeichnet, wie bereits aus ihrer Bezeichnung hervorgeht. Dem Kanton muss es vielmehr offenstehen, im Rahmen seiner Koordinationsaufgabe situationsadäquat eine Sondernutzungsplanung vorzusehen, die ein komplexes Projekt nicht schon fast wie eine Bewilligung, sondern noch mit einem gewissen Abstraktionsgrad regelt und dadurch eine optimale Nutzung des erfassten Gebiets nach den sich nachfolgend im Detail zu bestimmenden oder sich ergebenden Bedürfnissen ermöglicht. § 84 Abs. 2 PBG so auszulegen, dass die Anwendung eines kantonalen Gestaltungsplans nur bei ausreichend detaillierten Bauvorhaben zulässig ist, kann sich daher angesichts des Umstands, dass eine solche Auslegung vom Gesetzeswortlaut und der Systematik her nicht zwingend erscheint, als nicht situationsadäquat und damit als unsachlich bzw. willkürlich erweisen. Dies gilt vor allem dann, wenn andernfalls die vom Bundesrecht vorgeschriebene Harmonisierung der verschiedenen Verfahren ohne kantonalen Gestaltungsplan zumindest erheblich erschwert würde.</w:t>
      </w:r>
    </w:p>
    <w:p>
      <w:r>
        <w:rPr>
          <w:b/>
        </w:rPr>
        <w:t>E. 8.5</w:t>
      </w:r>
    </w:p>
    <w:p>
      <w:r>
        <w:t>Für den vorliegend zu beurteilenden Fall bedeutet dies, dass bei der Anwendung von § 84 Abs. 2 PBG die Ausgangslage mitzuberücksichtigen ist. Mit dem Innovationspark Zürich soll ein Projekt im überwiegenden nationalen Interesse auf einem dem Bund gehörenden Perimeter, der im Gebiet von zwei Gemeinden liegt, realisiert werden. Das Vorhaben bildet eine räumliche und BGE 148 II 139 S. 152 funktionale Einheit. Die erforderliche Koordination der insbesondere bau- und umweltschutzrechtlichen Anforderungen in zwei kommunalen Sondernutzungsregelungen wäre höchst komplex und nur schwierig umzusetzen. Beide betroffenen Gemeinden berufen sich denn auch nicht auf ihre Autonomie, sondern unterstützen im Gegenteil die vom Kanton gewählte Vorgehensweise mit einem kantonalen Gestaltungsplan. Ein solcher ist überdies für den Innovationspark Zürich in der Richtplanung des Kantons vorgesehen und entspricht der Komplexität des Projekts. Die vom Bundesrecht vorgeschriebene Harmonisierung der verschiedenen Verfahren erscheint ohne kantonalen Gestaltungsplan erheblich erschwert. Angesichts der konkreten Verhältnisse erweist sich der angefochtene Entscheid daher als nicht der Situation angepasst und damit als unsachlich bzw. willkürlich.</w:t>
      </w:r>
    </w:p>
    <w:p>
      <w:r>
        <w:rPr>
          <w:b/>
        </w:rPr>
        <w:t>E. 9.1</w:t>
      </w:r>
    </w:p>
    <w:p>
      <w:r>
        <w:t>Zu prüfen bleibt abschliessend, wieweit es erforderlich ist, dass der kantonale Gestaltungsplan mit der bestehenden Raumordnung vereinbar ist. Die fraglichen Grundstücke liegen zurzeit wie der ganze bestehende Militärflugplatz Dübendorf in der Landwirtschaftszone. Nach Auffassung des Verwaltungsgerichts und des Beschwerdegegners 2 wird diese Grundordnung durch den strittigen Gestaltungsplan gänzlich missachtet, weshalb dieser auch deswegen rechtswidrig sei.</w:t>
      </w:r>
    </w:p>
    <w:p>
      <w:r>
        <w:rPr>
          <w:b/>
        </w:rPr>
        <w:t>E. 9.2</w:t>
      </w:r>
    </w:p>
    <w:p>
      <w:r>
        <w:t>Gemäss der bundesgerichtlichen Rechtsprechung gilt für ein Grundstück, dessen militärische Nutzung aufgegeben wird, grundsätzlich die allgemeine raumplanungsrechtliche Grundordnung. Befindet es sich im Nichtbaugebiet, braucht es für die Umnutzung einer Baute oder Anlage grundsätzlich eine Ausnahmebewilligung nach Art. 24 ff. RPG (vgl. etwa das Urteil des Bundesgerichts 1C_336/2015 vom 19. Januar 2016). Für Bauten oder Anlagen, die wie hier einer Umweltverträglichkeitsprüfung bedürfen, sind Ausnahmebewilligungen allerdings weitgehend ausgeschlossen; hingegen fallen dafür Gestaltungspläne als Sondernutzungspläne in Betracht (vgl. THIERRY TANQUEREL, in: Praxiskommentar RPG: Nutzungsplanung, Aemisegger und andere [Hrsg.], 2016, N. 59 zu Art. 21 RPG ). Zwar setzt die Schaffung einer Bauzone bzw. Spezialnutzungszone für ein bestimmtes Projekt in der Regel voraus, dass die Planungsmassnahme den Zielen und Grundsätzen der raumplanungsrechtlichen Nutzungsplanung entspricht. Davon kann aber abgewichen werden, wenn sie auf einer sachlich vertretbaren BGE 148 II 139 S. 153 Interessenabwägung beruht. Diesfalls sind selbst im Landwirtschaftsgebiet Sondernutzungszonen nicht ausgeschlossen. Dabei sind freilich hohe Anforderungen an die sachgerechte Interessenabwägung zu stellen. Insbesondere ist darzulegen, weshalb die betreffenden Nutzungen nicht zweckmässig innerhalb des Siedlungsgebiets untergebracht werden können, und es ist den für Fruchtfolgeflächen geltenden Anforderungen Rechnung zu tragen (vgl. das Urteil des Bundesgerichts 1C_13/2012 / 1C_25/2012 vom 24. Mai 2012 E. 3.1 und 3.2). Auch der Richtplan des Kantons Zürich sieht im Übrigen für öffentliche Aufgaben und andere spezielle Nutzungen ausdrücklich die Möglichkeit von Ausnahmen im Landwirtschaftsgebiet vor. Die genaue Tragweite von solchen im Richtplan als "Durchstossung" bezeichneten Abweichungen ist allerdings unter den Verfahrensbeteiligten umstritten.</w:t>
      </w:r>
    </w:p>
    <w:p>
      <w:r>
        <w:rPr>
          <w:b/>
        </w:rPr>
        <w:t>E. 9.3</w:t>
      </w:r>
    </w:p>
    <w:p>
      <w:r>
        <w:t>Nach Art. 16 RPG dienen Landwirtschaftszonen der langfristigen Sicherung der Ernährungsbasis des Landes, der Erhaltung der Landschaft und des Erholungsraums oder dem ökologischen Ausgleich und sie sollen diesen Funktionen entsprechend von Überbauungen weitgehend freigehalten werden. Der hier massgebliche Planperimeter ist bereits heute weitgehend überbaut. Die in Art. 16 RPG genannten Zwecke des Landwirtschaftslands können daher von vornherein nicht erfüllt werden. Ob dies für den vom Gestaltungsplan nicht erfassten grösseren Bereich des bisherigen Militärflugplatzes, der weiterhin weitgehend aviatisch genutzt wird, anders zu beurteilen wäre, kann hier dahingestellt bleiben. Fruchtfolgeflächen sind im gesamten Flugplatzgelände nicht vorhanden. Angesichts dieser Sachlage ist die Einstufung des vom strittigen Gestaltungsplan erfassten Perimeters als Landwirtschaftsland fragwürdig und sollte überdacht werden. Die Frage, wieweit sich der Innovationspark auch im Siedlungsgebiet, wie er im Richtplan ausgeschieden ist, realisieren liesse, tritt bei dieser Ausgangslage in den Hintergrund. Im Übrigen handelt es sich beim für die erste Etappe des Innovationsparks vorgesehenen Bereich mit 37 ha um ein grosses Entwicklungsgebiet. Insgesamt bildet dieses jedoch ein Teilgebiet der Gesamtfläche des Flugplatzes Dübendorf von rund 230 ha, der weiterhin wie bisher aviatisch genutzt wird. Ins Gewicht fällt sodann, dass die Errichtung des Innovationsparks Zürich im gesetzlich anerkannten übergeordneten nationalen Interesse liegt (vgl. Art. 32 Abs. 1 lit. a FIFG ), wodurch seine gesamtschweizerische Bedeutung unterstrichen wird. Schliesslich ist der Innovationspark Zürich im BGE 148 II 139 S. 154 kantonalen Richtplan vorgesehen, worin ausdrücklich festgehalten ist, dass seine Realisierung durch einen kantonalen Gestaltungsplan erfolgen soll. Diese Grundlage befindet sich auf zumindest gleicher Stufe wie die im kantonalen Richtplan allgemein vorgesehene Grundordnung und vermag diese entsprechend zu ergänzen. Damit kommt es nicht darauf an, ob die Ausnahmeregelung des Richtplans für eine "Durchstossung" des Landwirtschaftsgebiets anwendbar ist oder nicht, wobei immerhin festgehalten werden kann, dass selbst der Richtplan in diesem Sinne Abweichungen nicht absolut ausschliesst. Unter diesen Umständen ergibt eine Abwägung der einschlägigen Interessen, dass es zulässig ist, die Zuordnung des fraglichen Gebiets zur Landwirtschaftszone durch den kantonalen Gestaltungsplan zu übersteuern.</w:t>
      </w:r>
    </w:p>
    <w:p>
      <w:r>
        <w:rPr>
          <w:b/>
        </w:rPr>
        <w:t>E. 9.4</w:t>
      </w:r>
    </w:p>
    <w:p>
      <w:r>
        <w:t>Die bisherige Zuordnung des Gestaltungsplangebiets zur Landwirtschaftszone hindert demnach dessen Neuregelung im kantonalen Gestaltungsplan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