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46</w:t>
      </w:r>
    </w:p>
    <w:p>
      <w:r>
        <w:t>Bundesgericht (BGE), 2022-01-19, FR</w:t>
      </w:r>
    </w:p>
    <w:p>
      <w:r>
        <w:rPr>
          <w:b/>
        </w:rPr>
        <w:t xml:space="preserve">Quelle: </w:t>
      </w:r>
      <w:r>
        <w:t>https://mcp.opencaselaw.ch/entscheid/bge_BGE_148_III_46</w:t>
      </w:r>
    </w:p>
    <w:p>
      <w:r>
        <w:t>FR: ATF 148 III 46</w:t>
      </w:r>
    </w:p>
    <w:p>
      <w:r>
        <w:t>IT: DTF 148 III 46</w:t>
      </w:r>
    </w:p>
    <w:p>
      <w:pPr>
        <w:pStyle w:val="Heading2"/>
      </w:pPr>
      <w:r>
        <w:t>Regeste</w:t>
      </w:r>
    </w:p>
    <w:p>
      <w:r>
        <w:t>Regeste Art. 56 Ziff. 3, 62 und 140 Abs. 2, 1. Satz, SchKG; Art. 37 VZG; Mitteilung des Lastenverzeichnisses während der Dauer eines durch die Coronavirus-Pandemie bedingten Rechtsstillstandes. Qualifikation der Mitteilung des Lastenverzeichnisses (Art. 140 Abs. 2, 1. Satz, SchKG; Art. 37 VZG) als Betreibungshandlung im Sinne von Art. 56 SchKG (E. 4.2).</w:t>
      </w:r>
    </w:p>
    <w:p>
      <w:r>
        <w:t>Regeste Art. 56 ch. 3, 62 et 140 al. 2, 1 re phrase, LP; art. 37 ORFI; communication de l'état des charges pendant une période de suspension en raison de la pandémie de coronavirus. Qualification de la communication de l'état des charges (art. 140 al. 2, 1 re phrase, LP; art. 37 ORFI) comme acte de poursuite au sens de l'art. 56 LP (consid. 4.2).</w:t>
      </w:r>
    </w:p>
    <w:p>
      <w:r>
        <w:t>Regesto Art. 56 n. 3, 62 e 140 cpv. 2 prima frase LEF; art. 37 RFF; comunicazione dell'elenco oneri durante un periodo di sospensione per la pandemia di coronavirus. Qualifica della comunicazione dell'elenco oneri (art. 140 cpv. 2 prima frase LEF; art. 37 RFF) come atto esecutivo ai sensi dell'art. 56 LEF (consid. 4.2).</w:t>
      </w:r>
    </w:p>
    <w:p>
      <w:pPr>
        <w:pStyle w:val="Heading2"/>
      </w:pPr>
      <w:r>
        <w:t>Erwägungen</w:t>
      </w:r>
    </w:p>
    <w:p>
      <w:r>
        <w:rPr>
          <w:b/>
        </w:rPr>
        <w:t>E. 4</w:t>
      </w:r>
    </w:p>
    <w:p>
      <w:r>
        <w:t>(...)</w:t>
      </w:r>
    </w:p>
    <w:p>
      <w:r>
        <w:rPr>
          <w:b/>
        </w:rPr>
        <w:t>E. 4.2</w:t>
      </w:r>
    </w:p>
    <w:p>
      <w:r>
        <w:t>L' art. 56 ch. 3 LP suppose que l'état des charges puisse être qualifié d'acte de poursuite, ce que l'autorité cantonale a admis sans être critiquée par la recourante, à bon droit. Selon la jurisprudence, constitue en effet un acte de poursuite au sens de cette disposition toute mesure officielle d'un organe de l'exécution forcée ayant pour effet de rapprocher le créancier de son but et affectant la situation juridique du débiteur ( ATF 121 III 88 consid. 6c/aa et les références; ATF 115 III 11 consid. 1b; arrêts 5A_834/2015 du 20 janvier 2017 consid. 2.1; 5A_448/2011 du 31 octobre 2011 consid. 2.5; cf. aussi: GILLIÉRON, Commentaire de la loi fédérale sur la poursuite pour dettes et la faillite, Articles 1-88, 1999-2003, n° 28 ad art. 56 LP , selon lequel la notification ou la communication doit en outre faire courir un délai pour agir que doit observer le poursuivant, le poursuivi ou un tiers). La communication de l'état des charges au débiteur (cf. art. 37 al. 1 de l'ordonnance du Tribunal fédéral du 23 avril 1920 sur la réalisation forcée des immeubles [ORFI; RS 281.42]) répond à ces conditions, dès lors qu'elle fait partir le délai de 10 jours dans lequel, s'il entend contester l'existence, l'étendue, le rang ou l'exigibilité d'un droit inscrit à l'état des charges, il doit formuler l'opposition qui déclenchera la procédure d'épuration de l'état des charges des art. 106 à 109 LP et, à défaut de laquelle, le droit sera considéré comme reconnu par lui pour la poursuite en cause ( art. 140 al. 2 LP et 37 al. 2 ORFI; cf. arrêt 5A_852/2014 du 23 mars 2015 consid. 4.2; dans le sens d'une telle qualification: SCHMID/ BAUER, in Basler Kommentar, Bundesgesetz über Schulbetreibungs- und Konkursrecht, 3 e éd. 2021, n° 37 ad art. 56 LP ; WYSSEN, Geschlossene Zeiten, Betreibungsferien und Rechtsstillstand [Art. 56 ff. SchKG], 1995, p. 82; JAEGER, Das Bundesgesetz betreffend Schuldbetreibung und Konkurs, vol. I, 3 e éd. 1911, n° 3 ad art. 56 LP ; cf. aussi: AMONN/WALTHER, Grundriss des Schuldbetreibungs- und Konkursrechts, 9 e éd. 2013, § 11, n. 41, selon lesquels "die Verwertung [SchKG 116 ff.]", soit la réalisation, fait partie des actes de poursuite; GILLIÉRON, op. cit., n° 29 ad art. 56 LP qui compte dans les BGE 148 III 46 S. 49 actes de poursuite "les actes préparatoires à la réalisation"; JAEGER/WALDER/KULL/KOTTMANN, Bundesgesetz über Schuldbetreibung und Konkurs, vol. I, Art. 1-158, 4 e éd. 1997, n° 6 ad art. 56 LP , qui cite la réalisation des immeubles, art. 133-143b; implicitement: SARBACH, in KurzKommentar SchKG, 2 e éd. 2014, n os 17 et 28 ad art. 56 LP , pour lequel toute mesure visant à la réalisation des biens est, sous réserve de certaines exceptions parmi lesquelles il ne cite pas la communication de l'état des charges, un acte de poursuite).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