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42</w:t>
      </w:r>
    </w:p>
    <w:p>
      <w:r>
        <w:t>Bundesgericht (BGE), 2021-09-09, FR</w:t>
      </w:r>
    </w:p>
    <w:p>
      <w:r>
        <w:rPr>
          <w:b/>
        </w:rPr>
        <w:t xml:space="preserve">Quelle: </w:t>
      </w:r>
      <w:r>
        <w:t>https://mcp.opencaselaw.ch/entscheid/bge_BGE_148_III_42</w:t>
      </w:r>
    </w:p>
    <w:p>
      <w:r>
        <w:t>FR: ATF 148 III 42</w:t>
      </w:r>
    </w:p>
    <w:p>
      <w:r>
        <w:t>IT: DTF 148 III 42</w:t>
      </w:r>
    </w:p>
    <w:p>
      <w:pPr>
        <w:pStyle w:val="Heading2"/>
      </w:pPr>
      <w:r>
        <w:t>Regeste</w:t>
      </w:r>
    </w:p>
    <w:p>
      <w:r>
        <w:t>Regeste Art. 99 Abs. 1 lit. c ZPO; Sicherheit für die Parteientschädigung. Art. 99 Abs. 1 lit. c ZPO setzt dem Wortlaut nach voraus, dass die klagende Partei Prozesskosten aus früheren Verfahren schuldet. Der Begriff der "Prozesskosten" umfasst namentlich die Parteientschädigung. Ein "früheres Verfahren" meint ein formell rechtskräftiges und vollstreckbares Urteil; eine Mahnung des Schuldners ist nicht erforderlich (E. 4.2).</w:t>
      </w:r>
    </w:p>
    <w:p>
      <w:r>
        <w:t>Regeste Art. 99 al. 1 let. c CPC; sûretés en garantie des dépens. Selon la lettre de l'art. 99 al. 1 let. c CPC, le demandeur doit être débiteur de frais d'une procédure antérieure. La notion de "frais" appréhende notamment les dépens. Une "procédure antérieure" présuppose un jugement entré en force de chose jugée formelle et exécutoire; une mise en demeure du débiteur n'est pas exigée (consid. 4.2).</w:t>
      </w:r>
    </w:p>
    <w:p>
      <w:r>
        <w:t>Regesto Art. 99 cpv. 1 lett. c CPC; cauzione per le spese ripetibili. Secondo il tenore dell'art. 99 cpv. 1 lett. c CPC, l'attore dev'essere debitore delle spese giudiziarie di una precedente procedura. La nozione di "spese giudiziarie" comprende in particolar modo le spese ripetibili. Una "procedura precedente" presuppone una sentenza che ha acquisito forza di cosa giudicata formale e che è esecutiva; una messa in mora del debitore non è necessaria (consid. 4.2).</w:t>
      </w:r>
    </w:p>
    <w:p>
      <w:pPr>
        <w:pStyle w:val="Heading2"/>
      </w:pPr>
      <w:r>
        <w:t>Erwägungen</w:t>
      </w:r>
    </w:p>
    <w:p>
      <w:r>
        <w:rPr>
          <w:b/>
        </w:rPr>
        <w:t>E. 4</w:t>
      </w:r>
    </w:p>
    <w:p>
      <w:r>
        <w:t>S'agissant de la requête en constitution de sûretés formulée par la recourante contre B. S.A., la Cour de justice a considéré que le motif allégué par la recourante - à savoir que B. S.A. soit débitrice de dépens d'une procédure antérieure ( art. 99 al. 1 let . c CPC) - n'était pas réalisé, de telle sorte que cette requête devait être rejetée. Certes, a-t-elle observé, B. S.A. avait bel et bien été condamnée par le Tribunal des Montagnes et du Val-de-Ruz du canton de Neuchâtel à verser à la recourante une somme de 11'479 fr. 75 à titre de dépens, dans un jugement qui remontait au 29 avril 2019. Toutefois, la recourante n'avait jamais réclamé ces dépens à B. S.A., de sorte que l'état de fait appréhendé par la disposition précitée n'était pas réalisé.</w:t>
      </w:r>
    </w:p>
    <w:p>
      <w:r>
        <w:rPr>
          <w:b/>
        </w:rPr>
        <w:t>E. 4.1</w:t>
      </w:r>
    </w:p>
    <w:p>
      <w:r>
        <w:t>La recourante discerne là une violation de l' art. 99 al. 1 let . c CPC. Le texte légal imposerait uniquement, à l'en croire, d'être débiteur de frais d'une procédure antérieure. En doctrine, il était question que les BGE 148 III 42 S. 44 frais en cause (i.e. frais de procédure et dépens) soient exigibles, ce qui impliquait que la décision corrélative soit entrée en force et exécutoire. Tel était bien le cas, ce que nul ne contestait. L'opinion de quelques auteurs selon laquelle il faudrait, de surcroît, une mise en demeure du débiteur, ne trouverait pas d'assise dans la loi. L'exigibilité d'une créance consacrée par un jugement exécutoire n'en dépendrait pas. La Cour de justice se serait d'ailleurs mise en porte-à-faux avec d'autres arrêts qu'elle avait rendus par le passé et dans lesquels elle avait consacré la solution inverse.</w:t>
      </w:r>
    </w:p>
    <w:p>
      <w:r>
        <w:rPr>
          <w:b/>
        </w:rPr>
        <w:t>E. 4.2</w:t>
      </w:r>
    </w:p>
    <w:p>
      <w:r>
        <w:t>Selon la lettre de l' art. 99 al. 1 let . c CPC, le demandeur doit être débiteur de frais d'une procédure antérieure. La notion de frais appréhende notamment les dépens (parmi d'autres, arrêt 5A_916/2016 du 7 juillet 2017 consid. 2.4; DENIS TAPPY, in Commentaire romand, Code de procédure civile, 2 e éd. 2019, n° 34 ad art. 99 CPC ; RÜEGG/ RÜEGG, in Basler Kommentar, Schweizerische Zivilprozessordnung, 3 e éd. 2017, n° 16 ad art. 99 CPC ; PATRICK STOUDMANN, in CPC, Code de procédure civile, Chabloz et al. [éd.], 2021, n° 28 ad art. 99 CPC ). Cette disposition ne spécifie rien de plus. Elle fait donc uniquement référence au devoir qu'a le demandeur envers son créancier d'effectuer la prestation, c'est-à-dire à la face passive de l'obligation. Par frais d'une "procédure antérieure", il faut entendre une procédure désormais close (arrêt 5A_506/2016 du 6 février 2017 consid. 2.1.2; TAPPY, op. cit., n° 34 ad art. 99 CPC ; URWYLER/GRÜTTER, in Schweizerische Zivilprozessordnung [ZPO], vol. I, 2 e éd. 2016, n° 12 ad art. 99 CPC ; MARTIN STERCHI, in Berner Kommentar, Schweizerische Zivilprozessordnung, vol. I, 2012, n° 26 ad art. 99 CPC ). L' art. 99 al. 1 let . c CPC présuppose un jugement entré en force de chose jugée formelle et exécutoire (URWYLER/GRÜTTER, loc. cit.; STERCHI, loc. cit.). Une interpellation par le créancier est-elle encore nécessaire? Selon la jurisprudence, l'exigence de l'interpellation a pour but d'épargner au débiteur un traitement trop rigoureux, lorsqu'il ignore l'époque de l'exécution ou que cette époque est indéterminée ( ATF 97 II 58 consid. 5; arrêt 4A_219/2020 du 12 mars 2021 consid. 4.1; LUC THÉVENOZ, in Commentaire romand, Code des obligations, vol. I, 2 e éd. 2012, n° 16 ad art. 102 CO ). Dans le cas d'un jugement entré en force de chose jugée, une interpellation ne se justifie pas. Le débiteur est tout à fait conscient du moment auquel il doit s'exécuter; il ne saurait être question de lui épargner un traitement trop rigoureux en imposant une interpellation. BGE 148 III 42 S. 45 La jurisprudence paraît d'ailleurs avoir opiné dans ce sens (arrêt 5A_916/2016 précité consid. 2.4.5), même si tel n'était pas le coeur du litige dans l'arrêt en question et si le considérant cité n'est pas parfaitement explicite. Il est fort possible qu'il se trouve des arrêts cantonaux allant dans un sens ou un autre; ceci signifie tout au plus qu'il existe une insécurité à cet égard que le présent arrêt aura pour avantage de lever. Quant à l'opinion contraire qui pourrait, à la rigueur, se dégager des commentaires de quelques auteurs de doctrine (TAPPY, op. cit., n° 35 ad art. 99 CPC ; RÜEGG/RÜEGG, op. cit., n° 16 ad art. 99 CPC ), cités par la cour cantonale, il serait intéressant de savoir sur quelle réflexion elle repose, ce que toutefois l'on ignore. Il n'est donc pas nécessaire de poursuivre ce débat. En conclusion, lorsque l' art. 99 al. 1 let . c CPC impose que le demandeur soit débiteur de "frais d'une procédure antérieure", il présuppose un jugement entré en force de chose jugée et exécutoire, mais n'exige pas de mise en demeure ultérieure du débiteur.</w:t>
      </w:r>
    </w:p>
    <w:p>
      <w:r>
        <w:rPr>
          <w:b/>
        </w:rPr>
        <w:t>E. 4.3</w:t>
      </w:r>
    </w:p>
    <w:p>
      <w:r>
        <w:t>En l'espèce, il est constant que l'intimée est débitrice envers la recourante de 11'479 fr. 75 au titre des dépens auxquels elle a été condamnée selon un jugement du Tribunal des Montagnes et du Val-de-Ruz du 29 avril 2019. Cette somme n'a pas été acquittée. Ceci implique que l'intimée réalise l'état de fait circonscrit à l' art. 99 al. 1 let . c CPC, indépendamment de savoir si la recourante lui a notifié, ultérieurement, une mise en demeure. C'est à tort que la cour cantonale a conditionné l'admission de la requête de sûretés de la recourante à cette exigence supplémentaire inconnue de l' art. 99 al. 1 let . c CPC. Le recours doit être admis sur ce point, l'arrêt cantonal annulé dans la mesure où il déboute la recourante de sa requête en constitution de sûretés et la cause être renvoyée à la Cour de justice afin qu'elle fixe le montant des sûretés dues par B. S.A., point que le Tribunal fédéral ne saurait trancher à sa place.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