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358</w:t>
      </w:r>
    </w:p>
    <w:p>
      <w:r>
        <w:t>Bundesgericht (BGE), 2022-06-27, DE</w:t>
      </w:r>
    </w:p>
    <w:p>
      <w:r>
        <w:rPr>
          <w:b/>
        </w:rPr>
        <w:t xml:space="preserve">Quelle: </w:t>
      </w:r>
      <w:r>
        <w:t>https://mcp.opencaselaw.ch/entscheid/bge_BGE_148_III_358</w:t>
      </w:r>
    </w:p>
    <w:p>
      <w:r>
        <w:t>FR: ATF 148 III 358</w:t>
      </w:r>
    </w:p>
    <w:p>
      <w:r>
        <w:t>IT: DTF 148 III 358</w:t>
      </w:r>
    </w:p>
    <w:p>
      <w:pPr>
        <w:pStyle w:val="Heading2"/>
      </w:pPr>
      <w:r>
        <w:t>Regeste</w:t>
      </w:r>
    </w:p>
    <w:p>
      <w:r>
        <w:t>Regeste Art. 163 ZGB; zeitliche Dauer des ehelichen Unterhaltes. Im Unterschied zum Scheidungsunterhalt ist der eheliche Unterhalt nicht zeitlich begrenzt, sondern bis zum Zeitpunkt der Scheidung geschuldet, soweit der andere Ehegatte den gebührenden Unterhalt nicht mit seinem eigenen Einkommen zu decken vermag. Die Pflicht zur Aufnahme oder Ausdehnung einer Erwerbstätigkeit besteht bereits im Zuge der Trennung, wenn mit einer Wiederaufnahme des gemeinsamen Haushaltes nicht mehr ernsthaft zu rechnen ist (E. 5).</w:t>
      </w:r>
    </w:p>
    <w:p>
      <w:r>
        <w:t>Regeste Art. 163 CC; durée de l'entretien entre époux. A la différence de l'entretien post-divorce, l'entretien entre époux n'est pas limité dans le temps, mais est dû jusqu'au moment du divorce, dans la mesure où l'autre conjoint n'est pas en mesure de couvrir son entretien convenable au moyen de ses propres revenus. L'obligation de prendre ou d'étendre une activité lucrative existe déjà au moment de la séparation, lorsqu'on ne peut plus sérieusement compter sur une reprise de la vie commune (consid. 5).</w:t>
      </w:r>
    </w:p>
    <w:p>
      <w:r>
        <w:t>Regesto Art. 163 CC; durata del mantenimento tra coniugi. A differenza del mantenimento tra ex coniugi, il mantenimento tra coniugi non è limitato nel tempo, bensì dovuto fino al momento del divorzio, nella misura in cui l'altro coniuge non riesca a coprire il proprio debito mantenimento con il suo reddito. L'obbligo di iniziare o estendere un'attività lucrativa esiste già durante la separazione, se non si può più seriamente contare su una ripresa della comunione domestica (consid. 5).</w:t>
      </w:r>
    </w:p>
    <w:p>
      <w:pPr>
        <w:pStyle w:val="Heading2"/>
      </w:pPr>
      <w:r>
        <w:t>Erwägungen</w:t>
      </w:r>
    </w:p>
    <w:p>
      <w:r>
        <w:rPr>
          <w:b/>
        </w:rPr>
        <w:t>E. 5</w:t>
      </w:r>
    </w:p>
    <w:p>
      <w:r>
        <w:t>Nachdem die Einwände des Ehemannes entweder mangels prozesskonformer Ausführungen nicht zu hören sind oder aber an der Sache vorbeigehen, ist auf die in der nicht publ. E. 3 wiedergegebenen Willkürrügen der Ehefrau zurückzukommen. Dabei geht es um die Frage, ob die obergerichtliche Auffassung, der Unterhaltsanspruch der Ehefrau sei zu befristen, weil sie in der Phase 2 ihr Existenzminimum selbst erwirtschaften könne, vor dem Willkürverbot standhält. Das Kantonsgericht hat die zeitliche Befristung des Unterhaltsbeitrages überhaupt nicht oder jedenfalls nur sinngemäss mit dem Satz begründet, ab dem Zeitpunkt der Anrechnung eines Vollzeiterwerbes könne die Ehefrau ihr Existenzminimum selbst decken. Das Obergericht hat ebenfalls auf eine eigentliche Begründung verzichtet und - ohne auf die Beanstandungen der Ehefrau in der Berufung einzugehen - einfach die Aussage wiederholt, sie vermöge mit dem hypothetischen Einkommen in der Phase 2 ihren Unterhalt zu decken, und dem angefügt, es liege somit kein Verzicht auf eine Überschussverteilung, sondern eine Befristung der Unterhaltspflicht vor. Ausgangspunkt einer jeden Unterhaltsberechnung bildet der sog. gebührende Unterhalt, der sich im ehelichen wie auch im BGE 148 III 358 S. 360 nachehelichen Verhältnis anhand des zuletzt gemeinsam gelebten Standards bemisst (zuletzt BGE 147 III 293 E. 4.4; aus der früheren publizierten Rechtsprechung BGE 141 III 465 E. 3.1; BGE 137 III 102 E. 4.2.1.1; BGE 134 III 145 E. 4; BGE 132 III 593 E. 3.2). Der gebührende Unterhalt ist mithin, was die Gerichte beider Instanzen des Kantons Nidwalden jedenfalls im Ergebnis übersehen, vom Existenzminimum zu unterscheiden und bleibt bei günstigen Verhältnissen nicht auf dieses beschränkt. Vielmehr haben nach der konstanten bundesgerichtlichen Rechtsprechung und der sich daran ausrichtenden Praxis aller 25 anderen Kantone beide Ehegatten im Rahmen der verfügbaren Mittel bis zur Höhe des ermittelten früheren gemeinsamen Standards einen Anspruch auf dessen Fortsetzung, solange die Ehe besteht (zuletzt BGE 147 III 293 E. 4.4 S. 296 und 299; Urteil 5A_112/2020 vom 28. März 2022 E. 6.2). Angesichts der fehlenden Begründung wird nicht ganz klar, ob das Obergericht diese Grundsätze bewusst übergangen hat oder ob es (wie der Ehemann in seiner Beschwerdeantwort) den Grundsatz, wonach der nacheheliche Unterhalt grundsätzlich zeitlich zu limitieren ist, weil das Wort "angemessen" in Art. 125 Abs. 1 ZGB sich insbesondere auf die zeitliche Dimension bezieht ( BGE 147 III 249 E. 3.4.5), unbesehen auf den ehelichen Unterhalt gemäss Art. 163 ZGB übertragen hat. Sinngemässe Anwendung auf den ehelichen Unterhalt in bestimmten Konstellationen findet einzig der aus dem Scheidungsunterhalt stammende Grundsatz, wonach beide Ehegatten den gebührenden Unterhalt nach Möglichkeit aus eigener Anstrengung erwirtschaften sollen (sog. Primat der Eigenversorgung); vom Gesetzgeber wird dieser nur in Art. 125 Abs. 1 ZGB direkt ausgedrückt, aber nach konstanter Rechtsprechung ist bereits im ehelichen Verhältnis die Möglichkeit und Zumutbarkeit der Wiederaufnahme oder Ausdehnung einer Erwerbstätigkeit zu prüfen, wenn in tatsächlicher Hinsicht erstellt ist, dass mit einer Wiederaufnahme des gemeinsamen Haushaltes nicht mehr ernsthaft gerechnet werden kann ( BGE 147 III 301 E. 6.2; BGE 138 III 97 E. 2.2; BGE 137 III 385 E. 3.1; BGE 130 III 537 E. 3.2). Hingegen ist dem ehelichen Unterhaltsrecht eine zeitliche Limitierung des zur Erreichung des gebührenden Unterhaltes notwendigen Unterhaltsbeitrages fremd; solange das Eheband besteht - und damit insbesondere im Eheschutzverfahren -, kommt der Art. 163 ZGB zugrunde liegende Gleichbehandlungsgedanke zum Tragen (Urteil 5A_112/2020 vom 28. März 2022 E. 6.2), gemäss welchem wie gesagt beide Ehegatten in gleicher Weise und BGE 148 III 358 S. 361 grundsätzlich unabhängig von Kriterien wie Lebensprägung und Ehedauer im Rahmen der verfügbaren Mittel Anspruch auf Fortsetzung des gemeinsam gelebten Standards haben; unterhaltsbegrenzend wirkt hier einzig eine tatsächliche oder hypothetische Eigenversorgung, wie dies auch vorliegend der Fall ist. Indem das Obergericht des Kantons Nidwalden entgegen diesen klaren Grundsätzen entschieden hat, ist es nach den zutreffenden Rügen der Ehefrau in Willkür verfallen. Diese hat auch in der Phase 2 Anspruch auf Fortführung der ehelichen Lebenshaltung und ihre rechnerische Vorgehensweise ist im Rahmen der anwendbaren zweistufigen Methode korrekt, wenn sie zur Berechnung des seinerzeitigen gemeinsamen Existenzminimums und sich daraus ergebenden Überschusses die Kosten der damals gemeinsam bewohnten Liegenschaft sowie den Grundbetrag für ein Ehepaar von Fr. 1'700.- einsetzt. In der Nachtrennungs-Phase 1 wird der gemeinsam gepflegte Lebensstandard und damit der gebührende Unterhalt durch die scheidungsbedingten Mehrkosten etwas geschmälert, aber in der Phase 2 wird er zufolge der erhöhten gesamthaften Leistungsfähigkeit wieder erreicht. Darauf, d.h. auf den vollständigen gebührenden Unterhalt hat die Ehefrau Anspruch, aber auch nicht auf mehr; es ist deshalb folgerichtig, wenn dem Ehemann in der Phase 2 - weil die addierten Nettoeinkommen über den addierten gebührenden Unterhalten liegen - nach Bestreitung des Unterhaltsbeitrages ein grösserer Überschuss verbleibt als der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