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417</w:t>
      </w:r>
    </w:p>
    <w:p>
      <w:r>
        <w:t>Bundesgericht (BGE), 2021-07-02, DE</w:t>
      </w:r>
    </w:p>
    <w:p>
      <w:r>
        <w:rPr>
          <w:b/>
        </w:rPr>
        <w:t xml:space="preserve">Quelle: </w:t>
      </w:r>
      <w:r>
        <w:t>https://mcp.opencaselaw.ch/entscheid/bge_BGE_147_V_417</w:t>
      </w:r>
    </w:p>
    <w:p>
      <w:r>
        <w:t>FR: ATF 147 V 417</w:t>
      </w:r>
    </w:p>
    <w:p>
      <w:r>
        <w:t>IT: DTF 147 V 417</w:t>
      </w:r>
    </w:p>
    <w:p>
      <w:pPr>
        <w:pStyle w:val="Heading2"/>
      </w:pPr>
      <w:r>
        <w:t>Regeste</w:t>
      </w:r>
    </w:p>
    <w:p>
      <w:r>
        <w:t>Regeste Art. 25 Abs. 2 Satz 2 ATSG; Anwendbarkeit der längeren strafrechtlichen Verjährungsfrist. Die längere strafrechtliche Verjährungsfrist gemäss Art. 25 Abs. 2 Satz 2 ATSG ist auf die Erben des straffälligen Empfängers der unrechtmässig bezogenen Leistungen anwendbar (E. 7).</w:t>
      </w:r>
    </w:p>
    <w:p>
      <w:r>
        <w:t>Regeste Art. 25 al. 2, 2 e phrase, LPGA; application de la prescription de plus longue durée du droit pénal. La prescription de plus longue durée du droit pénal de l'art. 25 al. 2, 2 e phrase, LPGA est applicable aux héritiers du bénéficiaire de prestations perçues indûment par suite d'un acte pénalement répréhensible (consid. 7).</w:t>
      </w:r>
    </w:p>
    <w:p>
      <w:r>
        <w:t>Regesto Art. 25 cpv. 2 seconda frase LPGA; applicazione del termine di prescrizione penale più lungo. Il termine di prescrizione più lungo del diritto penale secondo l'art. 25 cpv. 2 seconda frase LPGA è applicabile agli eredi del beneficiario delle prestazioni indebitamente riscosse a seguito di un reato perseguibile penalmente (consid. 7).</w:t>
      </w:r>
    </w:p>
    <w:p>
      <w:pPr>
        <w:pStyle w:val="Heading2"/>
      </w:pPr>
      <w:r>
        <w:t>Erwägungen</w:t>
      </w:r>
    </w:p>
    <w:p>
      <w:r>
        <w:rPr>
          <w:b/>
        </w:rPr>
        <w:t>E. 6</w:t>
      </w:r>
    </w:p>
    <w:p>
      <w:r>
        <w:t>Streitig ist der Umfang der Rückerstattungspflicht, wobei beschwerdeweise einzig eine fehlerhafte Anwendung von Art. 25 Abs. 2 ATSG gerügt wird. Die Beschwerdeführer vertreten die Ansicht, dass die strafrechtliche Verjährungsfrist sich allein gegen die Person richte, die die strafbare Handlung begangen habe und verweisen in diesem Zusammenhang auf die bisherige bundesgerichtliche Rechtsprechung zu Art. 25 Abs. 2 Satz 2 ATSG . Da sie als Erben kein strafrechtlich relevantes Verschulden treffe, sei diese Bestimmung auf sie nicht anwendbar; vielmehr gelte die Frist von fünf Jahren gemäss Art. 25 Abs. 2 Satz 1 ATSG . Mit der längeren Rückerstattungspflicht erfolge eine Pönalisierung des Verhaltens des Täters. Der Rückforderung komme somit, soweit diese die Frist von fünf Jahren übersteige, die Funktion einer Busse resp. "einer strafähnlichen Ersatzmassnahme", mithin einer Sanktion zu. Als solche sei sie höchstpersönlicher Natur und könne folglich nicht vererbt werden. Die gegenteilige Auffassung der Vorinstanz verletze Bundesrecht, insbesondere Art. 6 und 7 EMRK .</w:t>
      </w:r>
    </w:p>
    <w:p>
      <w:r>
        <w:rPr>
          <w:b/>
        </w:rPr>
        <w:t>E. 7</w:t>
      </w:r>
    </w:p>
    <w:p>
      <w:r>
        <w:t>Kern des Rechtsstreits bildet die Frage, ob die längere strafrechtliche Verjährungsfrist gemäss Art. 25 Abs. 2 Satz 2 ATSG auf die Erben des straffälligen Empfängers der unrechtmässigen Leistungen anwendbar ist.</w:t>
      </w:r>
    </w:p>
    <w:p>
      <w:r>
        <w:rPr>
          <w:b/>
        </w:rPr>
        <w:t>E. 7.1</w:t>
      </w:r>
    </w:p>
    <w:p>
      <w:r>
        <w:t>Das Bundesgericht hat sich zu dieser Frage bisher nicht geäussert. Bejaht wurde die Anwendbarkeit der längeren strafrechtlichen Verjährungsfrist hingegen für den Rückerstattungsanspruch gegen eine juristische Person, deren Organe die strafbare Handlung begangen haben (Urteil K 70/06 vom 30. Juli 2007 E. 6.2, nicht publ. in: BGE 133 V 579 , aber in: SVR 2008 KV Nr. 4 S. 11; in ähnlicher Weise wurde in Urteil 2C_414/2013 vom 2. Februar 2014 betreffend Nachbezug von Zollabgaben die Rechtsprechung bestätigt, BGE 147 V 417 S. 420 wonach die Verjährungsfrist nach Art. 12 Abs. 4 VStrR für alle Leistungs- und Rückleistungspflichtigen gilt, auch diejenigen, welche die Widerhandlung nicht begangen haben [E. 6.1 mit Hinweisen] und wonach Art. 60 Abs. 2 OR nicht zur Anwendung kommt [E. 6.4.1]; in Bezug auf Art. 60 Abs. 2 OR [in der bis Ende Dezember 2019 gültig gewesenen Fassung] wurde die längere strafrechtliche Verjährungsfrist auf die Organhaftung [ BGE 111 II 429 E. 2d; BGE 112 II 17 2 E. II/2c] wie auch auf die Haftung des obligatorischen Haftpflichtversicherers des Motorfahrzeughalters [ Art. 65 SVG ; BGE 112 II 79 E. 3; BGE 137 III 481 E. 2.3] angewendet, nicht aber auf das Familienoberhaupt [ Art. 333 ZGB ] und den Geschäftsherrn [ Art. 55 OR ; BGE 122 III 225 E. 5; BGE 133 III 6 E. 5.1]; ausdrücklich offengelassen wurde diese Frage hinsichtlich der Erbenhaftung [ BGE 90 II 42</w:t>
      </w:r>
    </w:p>
    <w:p>
      <w:r>
        <w:rPr>
          <w:b/>
        </w:rPr>
        <w:t>E. 7.2.1</w:t>
      </w:r>
    </w:p>
    <w:p>
      <w:r>
        <w:t>Gemäss Art. 2 Abs. 1 lit. a ATSV (SR 830.11) ist nicht nur der Empfänger der unrechtmässigen Leistung rückerstattungspflichtig, sondern auch seine Erben sind es, was sich mit Art. 560 ZGB ohne Weiteres begründen lässt (vgl. JOHANNA DORMANN, in: Basler Kommentar, Allgemeiner Teil des Sozialversicherungsrechts, 2020, N. 33 zu Art. 25 ATSG ). Danach ist vom Prinzip der erbrechtlichen Universalsukzession auszugehen. Die Erben erwerben die Erbschaft als Ganzes mit dem Tod des Erblassers kraft Gesetz ( Art. 560 Abs. 1 ZGB ); unter Vorbehalt gesetzlicher Ausnahmen gehen die Vermögenswerte und Ansprüche ohne Weiteres auf die Erben über und die Schulden des Erblassers werden mit dessen Tod zu persönlichen Schulden der Erben ( Art. 560 Abs. 2 ZGB ). Die Erben werden Universalsukzessoren (Gesamtnachfolger) des Erblassers, wobei der Übergang so erfolgt, wie die Rechte und Pflichten beim Erblasser BGE 147 V 417 S. 421 vorbestanden. Die übergehenden Rechtspositionen erfahren durch die Universalsukzession grundsätzlich keine Veränderung (WOLF/GENNA, Erbrecht, in: Schweizerisches Privatrecht, Bd. IV/1, 2012, S. 25).</w:t>
      </w:r>
    </w:p>
    <w:p>
      <w:r>
        <w:rPr>
          <w:b/>
        </w:rPr>
        <w:t>E. 7.2.2</w:t>
      </w:r>
    </w:p>
    <w:p>
      <w:r>
        <w:t>Demgegenüber gehen die untrennbar mit der Person des Erblassers verbundenen höchstpersönlichen Rechte und Pflichten nicht auf die Erben über (zu den unvererblichen höchstpersönlichen Rechten und Pflichten aus öffentlichem Recht vgl. HANS MICHAEL RIEMER, Vererblichkeit und Unvererblichkeit von Rechten und Pflichten im Privatrecht und im öffentlichen Recht, recht 1/2006 S. 26 ff., S. 30 f.). Höchstpersönlicher Natur sind unter anderem die Bussen des Kernstrafrechts ( BGE 116 IV 4 E. 3a) und des Nebenstrafrechts ( BGE 134 III 59 E. 2.3.2). So sind etwa im Bereich des Steuerrechts Hinterziehungsbussen unübertragbar und unvererblich (vgl. Urteil 2C_689/ 2019 vom 15. August 2019 E. 2.2.2), während die Nachsteuer, welche rechtsprechungsgemäss keine Strafsanktion darstellt (vgl. Urteil 2A.480/2005 vom 23. Februar 2006 E. 2.2 mit Hinweisen), vererblich ist.</w:t>
      </w:r>
    </w:p>
    <w:p>
      <w:r>
        <w:rPr>
          <w:b/>
        </w:rPr>
        <w:t>E. 7.3</w:t>
      </w:r>
    </w:p>
    <w:p>
      <w:r>
        <w:t>Zu prüfen ist im Nachfolgenden, ob die (Gegen-)Einwendung der längeren strafrechtlichen Verjährungsfrist untrennbar mit der Person des straffälligen Leistungsbezügers verbunden ist, sodass sie dessen Erben nicht entgegengehalten werden kann.</w:t>
      </w:r>
    </w:p>
    <w:p>
      <w:r>
        <w:rPr>
          <w:b/>
        </w:rPr>
        <w:t>E. 7.3.1</w:t>
      </w:r>
    </w:p>
    <w:p>
      <w:r>
        <w:t>Gemäss dem Wortlaut von Art. 25 Abs. 2 Satz 2 ATSG ist die längere strafrechtliche Verjährungsfrist massgebend, wenn der Rückerstattungsanspruch "aus einer strafbaren Handlung hergeleitet" wird ("naît d'un acte punissable" resp. "deriva da un atto punibile"). Dieser Bestimmung ist nicht zu entnehmen, dass die strafbare Handlung vom Rückerstattungspflichtigen selbst begangen worden sein muss. Der Wortlaut von Art. 25 Abs. 2 Satz 2 ATSG steht der Anwendbarkeit der längeren strafrechtlichen Frist auf die Erben des unrechtmässigen Empfängers somit nicht entgegen.</w:t>
      </w:r>
    </w:p>
    <w:p>
      <w:r>
        <w:rPr>
          <w:b/>
        </w:rPr>
        <w:t>E. 7.3.2</w:t>
      </w:r>
    </w:p>
    <w:p>
      <w:r>
        <w:t>Die Regelung von Art. 25 ATSG dient der Durchsetzung des Legalitätsprinzips ( BGE 142 V 259 E. 3.2.2 mit Hinweis auf LOCHER/GÄCHTER, Grundriss des Sozialversicherungsrechts, 4. Aufl. 2014, § 43 Rz. 3). Ziel der Rückerstattungspflicht ist die Wiederherstellung der gesetzlichen Ordnung ( BGE 122 V 221 E. 6c; UELI KIESER, ATSG-Kommentar, 4. Aufl. 2020, N. 10 zu Art. 25 ATSG ; DORMANN, a.a.O., N. 13 zu Art. 25 ATSG ). Diesem Zweckgedanken wird indessen durch das Erlöschen des Rückerstattungsanspruchs infolge Verwirkung Grenzen gesetzt, wobei der Rechtsgrund des BGE 147 V 417 S. 422 Erlöschens im öffentlichen Interesse, primär in der Wahrung von Rechtssicherheit und Rechtsfrieden, liegt (vgl. dazu BGE 136 II 187 E. 7.4 mit Hinweis auf ANDRÉ PIERRE HOLZER, Verjährung und Verwirkung der Leistungsansprüche im Sozialversicherungsrecht, 2005, S. 12 ff. und 34 ff. und ATTILIO GADOLA, Verjährung und Verwirkung im öffentlichen Recht, AJP 1995 S. 48).</w:t>
      </w:r>
    </w:p>
    <w:p>
      <w:r>
        <w:rPr>
          <w:b/>
        </w:rPr>
        <w:t>E. 7.3.3</w:t>
      </w:r>
    </w:p>
    <w:p>
      <w:r>
        <w:t>Nicht anders verhält es sich, soweit für die Rückerstattung nicht die ordentliche fünfjährige Verwirkungsfrist, sondern die längere strafrechtliche Frist zur Anwendung gelangt. Entgegen der Auffassung der Beschwerdeführer stellt die Rückforderung, soweit sie die fünfjährige Frist übersteigt, nicht eine (etwa) mit einer Steuerbusse vergleichbare Strafsanktion dar, welche höchstpersönlicher Natur wäre (vgl. E. 7.2.2 in fine). Vielmehr soll auch diesbezüglich lediglich dem Legalitätsprinzip zur Durchsetzung verholfen werden, allerdings mit der Erweiterung, dass bei dessen deliktischer Verletzung die Wohltat der Verjährung (resp. hier der Verwirkung) erst später zum Tragen kommen soll. Es gilt somit auch hier der Zweckgedanke der Wiederherstellung der gesetzlichen Ordnung, wobei die strafrechtliche Frist gemäss Art. 25 Abs. 2 Satz 2 ATSG gleichzeitig der Harmonisierung mit anderen Rechtsvorschriften dient. So bezweckt diese Frist einerseits, die Vorschriften des Sozialversicherungs- und des Strafrechts im Bereich der Verjährung aufeinander abzustimmen. Es soll vermieden werden, dass der sozialversicherungsrechtliche Anspruch verwirkt, bevor die Verfolgungsverjährung des Strafrechts eintritt; denn es erschiene unbefriedigend, wenn der Täter zwar noch bestraft werden könnte, die Rückerstattung unrechtmässig bezogener Leistungen aber nicht mehr verlangt werden dürfte ( BGE 138 V 74 E. 5.2). Andererseits führt Art. 25 Abs. 2 Satz 2 ATSG auch im Zusammenhang mit der prozessualen Revision gemäss Art. 53 Abs. 1 ATSG zu einer Angleichung. Die Revision zieht eine uneingeschränkte materielle Neuprüfung nach sich, wobei auch eine rückwirkende Korrektur (ex tunc) möglich ist ( BGE 129 V 211 E. 3.2.2; Urteil 8C_365/2019 vom 25. September 2019 E. 3.1). Dabei gilt die (grundsätzlich) auf die prozessuale Revision anwendbare Frist von zehn Jahren gemäss Art. 67 Abs. 1 VwVG (SR 172.021) nicht, wenn der zu revidierende Entscheid - wie vorliegend - durch ein Verbrechen oder Vergehen beeinflusst wurde (vgl. nicht publ. E. 4.1). Diesem Umstand wird mit der - längeren - strafrechtlichen Frist in Art. 25 Abs. 2 Satz 2 ATSG Rechnung getragen. BGE 147 V 417 S. 423</w:t>
      </w:r>
    </w:p>
    <w:p>
      <w:r>
        <w:rPr>
          <w:b/>
        </w:rPr>
        <w:t>E. 7.4</w:t>
      </w:r>
    </w:p>
    <w:p>
      <w:r>
        <w:t>Mit Blick auf das Dargelegte, namentlich aufgrund der fehlenden höchstpersönlichen Natur der (Gegen-)Einwendung der längeren strafrechtlichen Frist, ergibt sich, dass Art. 25 Abs. 2 Satz 2 ATSG auf die Erben des Empfängers der unrechtmässigen Leistungen anwendbar ist. Diese Regelung hat keinen Sanktionscharakter (vgl. E. 7.3.3), womit der beschwerdeweise erhobenen Rüge einer Verletzung von Art. 6 und 7 EMRK die Grundlage entzogen ist. Ob diesbezüglich überhaupt eine ausreichend begründete Beschwerde vorliegt (vgl. Art. 106 Abs. 2 BGG ; BGE 136 I 49 E. 1.4.1), erscheint zweifelhaft, kann nach dem Gesagten letztlich aber offenbleiben. Zusammenfassend verletzte das kantonale Gericht kein Bundesrecht, als es die Rückforderung der ab März 2003 bezogenen (bundesrechtlichen) Ergänzungsleistungen bejahte.</w:t>
      </w:r>
    </w:p>
    <w:p>
      <w:r>
        <w:rPr>
          <w:b/>
        </w:rPr>
        <w:t>E. 8</w:t>
      </w:r>
    </w:p>
    <w:p>
      <w:r>
        <w:t>E. 4; BGE 107 II 151 E. 4b; vgl. aber das obiter dictum in BGE 122 III 195 E. 9c]). Soweit die Beschwerdeführer sodann Bezug nehmen auf die bisherige Rechtsprechung des Bundesgerichts zu Art. 25 Abs. 2 Satz 2 ATSG , lässt sich gestützt auf den Umstand, dass dort jeweils einzig die Rede war von der rückerstattungspflichtigen Person (resp. deren Organe), welche die strafbare Handlung begangen hat (vgl. BGE 138 V 74 E. 6.1; Urteil K 70/06 vom 30. Juli 2007 E. 6.2, nicht publ. in: BGE 133 V 579 , aber in: SVR 2008 KV Nr. 4 S. 11; vgl. auch Urteil 9C_340/2020 vom 29. März 2021 E. 2.2), nicht der (Umkehr-)Schluss ziehen, die längere strafrechtliche Frist gelte für die Erben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