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173</w:t>
      </w:r>
    </w:p>
    <w:p>
      <w:r>
        <w:t>Bundesgericht (BGE), 2020-12-02, DE</w:t>
      </w:r>
    </w:p>
    <w:p>
      <w:r>
        <w:rPr>
          <w:b/>
        </w:rPr>
        <w:t xml:space="preserve">Quelle: </w:t>
      </w:r>
      <w:r>
        <w:t>https://mcp.opencaselaw.ch/entscheid/bge_BGE_147_I_173</w:t>
      </w:r>
    </w:p>
    <w:p>
      <w:r>
        <w:t>FR: ATF 147 I 173</w:t>
      </w:r>
    </w:p>
    <w:p>
      <w:r>
        <w:t>IT: DTF 147 I 173</w:t>
      </w:r>
    </w:p>
    <w:p>
      <w:pPr>
        <w:pStyle w:val="Heading2"/>
      </w:pPr>
      <w:r>
        <w:t>Regeste</w:t>
      </w:r>
    </w:p>
    <w:p>
      <w:r>
        <w:t>Regeste Art. 30 Abs. 1 BV; Beurteilung eines nach Fällung des letztinstanzlichen kantonalen Urteils, aber vor Ablauf der Beschwerdefrist beim Bundesgericht entdeckten Ausstandsgrunds in einer Angelegenheit des öffentlichen Rechts. Wird ein Ausstandsgrund erst nach der Fällung des letztinstanzlichen kantonalen Urteils, aber vor Ablauf der Beschwerdefrist beim Bundesgericht entdeckt, kann dieser erstmals in der Beschwerde vor Bundesgericht geltend gemacht werden (BGE 139 III 466 E. 3.4). Das gilt auch im kantonalen öffentlichen Recht, falls eine Beurteilung unter dem Gesichtspunkt von Art. 30 Abs. 1 BV möglich ist (E. 3 und 4). Wirkt ein Richter, der zugleich als Exekutivmitglied einer Gemeinde amtiert, in einem Verfahren betreffend den interkommunalen Finanzausgleich mit, welches auf Gesuch einer anderen Gemeinde des gleichen Kantons veranlasst wurde, liegt eine Verletzung von Art. 30 Abs. 1 BV vor (E. 5).</w:t>
      </w:r>
    </w:p>
    <w:p>
      <w:r>
        <w:t>Regeste Art. 30 al. 1 Cst.; découverte d'un motif de récusation après le prononcé du jugement de dernière instance cantonale, mais avant l'écoulement du délai de recours devant le Tribunal fédéral, dans une cause de droit public. Un motif de récusation qui n'est découvert qu'après le prononcé du jugement de dernière instance cantonale, mais avant l'écoulement du délai de recours devant le Tribunal fédéral, peut être invoqué pour la première fois dans le recours devant le Tribunal fédéral (ATF 139 III 466 consid. 3.4). Cela est également valable en matière de droit public cantonal, si un examen sous l'angle de l'art. 30 al. 1 Cst. est possible (consid. 3 et 4). Il y a violation de l'art. 30 al. 1 Cst. si un juge, qui est par ailleurs membre de l'exécutif d'une commune, participe à une procédure concernant la péréquation financière intercommunale qui a été engagée à la demande d'une autre commune du même canton (consid. 5).</w:t>
      </w:r>
    </w:p>
    <w:p>
      <w:r>
        <w:t>Regesto Art. 30 cpv. 1 Cost.; scoperta di un motivo di ricusazione dopo l'emanazione del giudizio di ultima istanza cantonale ma prima della scadenza del termine per ricorrere al Tribunale federale in una causa di diritto pubblico. Un motivo di ricusazione scoperto dopo l'emanazione del giudizio di ultima istanza cantonale, ma prima della scadenza del termine per ricorrere al Tribunale federale può essere fatto valere per la prima volta nel ricorso al Tribunale federale (DTF 139 III 466 consid. 3.4). Ciò vale anche per quanto concerne il diritto pubblico cantonale, se un esame dal profilo dell'art. 30 cpv.1 Cost. è possibile (consid. 3 e 4). L'art. 30 cpv. 1 Cost. è violato se un giudice, peraltro membro dell'esecutivo di un comune, prende parte a un procedimento concernente la perequazione finanziaria intercomunale avviato su richiesta di un altro comune del medesimo cantone (consid. 5).</w:t>
      </w:r>
    </w:p>
    <w:p>
      <w:pPr>
        <w:pStyle w:val="Heading2"/>
      </w:pPr>
      <w:r>
        <w:t>Erwägungen</w:t>
      </w:r>
    </w:p>
    <w:p>
      <w:r>
        <w:rPr>
          <w:b/>
        </w:rPr>
        <w:t>E. 3</w:t>
      </w:r>
    </w:p>
    <w:p>
      <w:r>
        <w:t>Die Beschwerdeführerin beantragt die Feststellung, das Urteil vom 18. Dezember 2019 sei nichtig, da die verfassungsmässigen Unvereinbarkeitsbestimmungen als qualifizierte Ausstandsregeln nicht eingehalten worden seien.</w:t>
      </w:r>
    </w:p>
    <w:p>
      <w:r>
        <w:rPr>
          <w:b/>
        </w:rPr>
        <w:t>E. 3.1</w:t>
      </w:r>
    </w:p>
    <w:p>
      <w:r>
        <w:t>Die Beschwerdeführerin gelangte bereits am 21. Januar 2020 mit dem Antrag an die Vorinstanz, die Nichtigkeit des Urteils vom 18. Dezember 2019 festzustellen, eventualiter in Gutheissung des Revisionsgesuchs das Urteil vom 18. Dezember 2019 aufzuheben und ihre Beschwerde unter einer rechtskonformen Zusammensetzung des Gerichts nochmals zu beurteilen. Die Vorinstanz trat am 27. Januar 2020 mit der Begründung auf das Revisionsbegehren nicht ein, es liege noch kein Urteil vor, das der Revision zugänglich sei. Das Bundesgericht trat auf die hiergegen geführte Beschwerde mit Urteil 2C_179/2020 vom 26. Februar 2020 ebenfalls nicht ein, da weder ein Endentscheid im Sinne von Art. 90 BGG noch ein anfechtbarer Zwischenentscheid im Sinne von Art. 92 f. BGG vorlag (vgl. Urteil 2C_179/2020 vom 26. Februar 2020 E. 2).</w:t>
      </w:r>
    </w:p>
    <w:p>
      <w:r>
        <w:rPr>
          <w:b/>
        </w:rPr>
        <w:t>E. 3.2</w:t>
      </w:r>
    </w:p>
    <w:p>
      <w:r>
        <w:t>Die Verletzung qualifizierter Ausstandsregeln als Nichtigkeits- und Revisionsgrund macht die Beschwerdeführerin im vorliegenden Verfahren erneut geltend.</w:t>
      </w:r>
    </w:p>
    <w:p>
      <w:r>
        <w:rPr>
          <w:b/>
        </w:rPr>
        <w:t>E. 3.2.1</w:t>
      </w:r>
    </w:p>
    <w:p>
      <w:r>
        <w:t>Gemäss § 51 Abs. 3 der Verfassung des Kantons Basel-Landschaft vom 17. Mai 1984 (KV/BL; SR 131.222.2) bestimmt das Gesetz das Nähere zur Unvereinbarkeit. Gestützt darauf sieht § 34 Abs. 3 des Gesetzes des Kantons Basel-Landschaft vom 22. Februar 2001 über die Organisation der Gerichte (Gerichtsorganisationsgesetz, GOG; SGS 170) vor, dass Mitarbeiterinnen und Mitarbeiter des Kantons und der Gemeinden nicht in eine Abteilung des Kantonsgerichts Einsitz nehmen können, die Verfassungs- und Verwaltungssachen zu beurteilen hat. Ausserdem bleiben die Unvereinbarkeitsvorschriften anderer Gesetze vorbehalten (vgl. § 34 Abs. 5 GOG). Aus dem Gesetz des Kantons Basel-Landschaft vom 28. Mai 1970 über die Organisation und die Verwaltung der Gemeinden (Gemeindegesetz, GemG; SGS 180) ergibt sich sodann, dass die Mitglieder des Regierungsrats und des Kantonsgerichts sowie die BGE 147 I 173 S. 176 Gemeindeangestellten nicht den Gemeindebehörden und den Kontrollorganen angehören dürfen (vgl. § 9 Abs. 1 GemG).</w:t>
      </w:r>
    </w:p>
    <w:p>
      <w:r>
        <w:rPr>
          <w:b/>
        </w:rPr>
        <w:t>E. 3.2.2</w:t>
      </w:r>
    </w:p>
    <w:p>
      <w:r>
        <w:t>Die Beschwerdeführerin bringt vor, zwar gelte § 34 Abs. 3 GOG nur für Mitarbeitende der Gemeinden. Im System des kantonalen Gemeinderechts, wonach der Gemeinderat die verwaltende und die vollziehende Behörde sei (vgl. § 70 Abs. 1 GemG), mache es aber nur Sinn, wenn Analoges auch für die Mitglieder des Gemeinderats zur Anwendung gelange. Gemäss § 34 Abs. 5 GOG blieben ausdrücklich die Unvereinbarkeitsvorschriften anderer Gesetze vorbehalten. § 9 Abs. 1 GemG regle denn auch genau diese Unvereinbarkeit. Mitglieder des Kantonsgerichts dürften demnach nicht den Gemeindebehörden und den Kontrollorganen angehören. A. sei mitwirkender Kantonsrichter und zugleich Gemeinderat der Gemeinde U. Dieser Umstand stelle einen schweren Mangel dar, der zur Nichtigkeit des Urteils führe.</w:t>
      </w:r>
    </w:p>
    <w:p>
      <w:r>
        <w:rPr>
          <w:b/>
        </w:rPr>
        <w:t>E. 3.2.3</w:t>
      </w:r>
    </w:p>
    <w:p>
      <w:r>
        <w:t>Der Regierungsrat macht in seiner Vernehmlassung geltend, § 34 Abs. 3 GOG regle die Unvereinbarkeit von Doppelmandaten von Kantonsgerichtsangehörigen der Abteilung Verfassungs- und Verwaltungsrecht, während § 9 Abs. 1 GemG die Unvereinbarkeit von Doppelmandaten von Gemeindebehördenmitgliedern regle. Da in der vorliegenden Angelegenheit nicht die Angehörigkeit von A. als Gemeinderat von U., sondern seine Funktion als Kantonsrichter beanstandet werde, müsse deshalb auf die speziellere Regelung des Gerichtsorganisationsgesetzes abgestellt werden. Ausserdem gehe das Gerichtsorganisationsgesetz als lex posterior dem älteren Gemeindegesetz vor. Ferner begründe die Beschwerdeführerin nicht, weshalb sie erst am 16. Januar 2020 aus den Medien von einer allfälligen Unvereinbarkeit der Mitwirkung von A. Kenntnis erhalten habe. Die Besetzung des Gerichts sei ihr bereits zuvor bekannt gewesen.</w:t>
      </w:r>
    </w:p>
    <w:p>
      <w:r>
        <w:rPr>
          <w:b/>
        </w:rPr>
        <w:t>E. 4</w:t>
      </w:r>
    </w:p>
    <w:p>
      <w:r>
        <w:t>Die Beschwerdeführerin hat im Revisionsgesuch vom 21. Januar 2020, auf das die Vorinstanz nicht eingetreten ist, dargetan, die kantonalen Unvereinbarkeitsbestimmungen als qualifizierte Ausstandsregeln schützten wesentliche übergeordnete verfassungsmässige und völkerrechtliche Verfahrensgarantien (vgl. Art. 105 Abs. 2 BGG ). Auch im vorliegenden bundesgerichtlichen Verfahren macht die Beschwerdeführerin mit Blick auf den Kantonsrichter A. einen Ausstandsgrund geltend. Ein (neuerliches) Revisionsgesuch nach Vorliegen des am 5. Mai 2020 schriftlich eröffneten Urteils vom 18. Dezember 2019 hat die Beschwerdeführerin bei der Vorinstanz nicht gestellt. Zunächst ist deshalb zu beurteilen, ob die BGE 147 I 173 S. 177 Beschwerdeführerin den Ausstandsgrund unmittelbar vor Bundesgericht als erste Instanz vorbringen kann.</w:t>
      </w:r>
    </w:p>
    <w:p>
      <w:r>
        <w:rPr>
          <w:b/>
        </w:rPr>
        <w:t>E. 4.1</w:t>
      </w:r>
    </w:p>
    <w:p>
      <w:r>
        <w:t>Wird ein Ausstandsgrund erst nach Abschluss des Verfahrens entdeckt, gelten grundsätzlich die Bestimmungen über die Revision (vgl. Art. 38 Abs. 3 BGG ; Art. 51 Abs. 3 ZPO ; Art. 60 Abs. 3 StPO ). Diese Regelungen folgen dem Grundgedanken, dass ein Gericht die Gerichtsbarkeit hinsichtlich eines bestimmten Falls verliert, sobald es seinen Entscheid gefällt hat (vgl. BGE 144 IV 35 E. 2. S. 39 ff.; BGE 139 III 120 E. 2 S. 121 f., BGE 139 III 466 E. 3.4 S. 468 f.).</w:t>
      </w:r>
    </w:p>
    <w:p>
      <w:r>
        <w:rPr>
          <w:b/>
        </w:rPr>
        <w:t>E. 4.1.1</w:t>
      </w:r>
    </w:p>
    <w:p>
      <w:r>
        <w:t>Im Grundsatz ist lediglich die Revision rechtskräftiger Entscheide möglich (vgl. Art. 61 BGG i.V.m. Art. 121 BGG ; Art. 328 Abs. 1 ZPO ; Art. 410 Abs. 1 StPO ). Daraus hat das Bundesgericht bisher insbesondere in zivil- und strafrechtlichen Angelegenheiten im Umkehrschluss gefolgert, dass ein Ausstandsgrund, wenn er nach Abschluss des Verfahrens - mithin nach Ergehen des Entscheids -, aber vor Ablauf der Rechtsmittelfrist entdeckt wird, im Rahmen des Rechtsmittels geltend gemacht werden kann. Entsprechend darf in diesen Fällen der Ausstandsgrund im Rahmen der Beschwerde in Zivil- oder Strafsachen gerügt werden (vgl. BGE 139 III 120 E. 3.1.1 S. 122; BGE 138 III 702 E. 3.4 S. 704; vgl. auch Urteil 2C_596/2018 vom 13. Mai 2019 E. 5). In Präzisierung dieser Rechtsprechung im Zivil- und Strafrecht hat das Bundesgericht festgehalten, es sei zulässig, die Partei auf das Rechtsmittel zu verweisen, solange dessen Frist noch nicht abgelaufen sei (vgl. BGE 139 III 466 E. 3.4 S. 469 ff.).</w:t>
      </w:r>
    </w:p>
    <w:p>
      <w:r>
        <w:rPr>
          <w:b/>
        </w:rPr>
        <w:t>E. 4.1.2</w:t>
      </w:r>
    </w:p>
    <w:p>
      <w:r>
        <w:t>Entdeckt die beschwerdeführende Person hingegen während des hängigen bundesgerichtlichen Verfahrens einen Ausstandsgrund, darf die Vorinstanz im Lichte der Verwirkungsfolgen von Art. 125 BGG ein Nichteintreten auf ein Revisionsgesuch nicht einzig damit begründen, gegen den zu revidierenden Entscheid sei Beschwerde beim Bundesgericht erhoben worden. Eine Verfahrenspartei, die vor Abschluss des bundesgerichtlichen Verfahrens einen (Ausstands-) Grund entdeckt, der ihres Erachtens die Revision des vorinstanzlichen Entscheids begründet, hat ein Revisionsgesuch bei der Vorinstanz und einen Sistierungsantrag beim Bundesgericht zu stellen (vgl. BGE 144 IV 35 E. 2.1 S. 39 f.; vgl. auch BGE 144 I 208 E. 4 S. 212 ff.; BGE 138 II 386 E. 6 f. S. 389 ff.; zit. Urteil 2C_596/2018 E. 5).</w:t>
      </w:r>
    </w:p>
    <w:p>
      <w:r>
        <w:rPr>
          <w:b/>
        </w:rPr>
        <w:t>E. 4.2</w:t>
      </w:r>
    </w:p>
    <w:p>
      <w:r>
        <w:t>Die dargelegte bundesgerichtliche Rechtsprechung wirft die Frage auf, ob es in der vorliegenden Angelegenheit sachgerecht BGE 147 I 173 S. 178 erscheint, die Rechtsprechung im Zivil- und Strafrecht zur Beurteilung von Ausstandsgründen während laufender Beschwerdefrist auf das Öffentliche Recht zu übertragen.</w:t>
      </w:r>
    </w:p>
    <w:p>
      <w:r>
        <w:rPr>
          <w:b/>
        </w:rPr>
        <w:t>E. 4.2.1</w:t>
      </w:r>
    </w:p>
    <w:p>
      <w:r>
        <w:t>Werden Ausstandsgründe, die nach der massgebenden Eröffnung im Sinne von Art. 112 BGG , aber vor Eintritt der formellen Rechtskraft des vorinstanzlichen Entscheids entdeckt werden, unmittelbar auf dem Weg der Beschwerde beim Bundesgericht geltend gemacht, befindet dieses als erste Instanz über den Ausstand. Dies erweist sich im Zivil- und Strafrecht von vornherein als unproblematisch, da der Ausstand durch das Bundesrecht geregelt wird (vgl. Art. 47 ff. ZPO ; Art. 56 ff. StPO ; vgl. auch Art. 10 VwVG [SR 172.021]). Diese Ausstandsgründe prüft das Bundesgericht frei.</w:t>
      </w:r>
    </w:p>
    <w:p>
      <w:r>
        <w:rPr>
          <w:b/>
        </w:rPr>
        <w:t>E. 4.2.2</w:t>
      </w:r>
    </w:p>
    <w:p>
      <w:r>
        <w:t>Anders kann es sich im Öffentlichen Recht verhalten: Das Bundesgericht überprüft kantonalrechtlich geregelte Ausstandsgründe im Grundsatz bloss auf deren Vereinbarkeit mit dem Bundesrecht (vgl. Art. 95 lit. a BGG ). Beurteilt das Bundesgericht kantonalrechtliche Ausstandsregeln im Rahmen seiner eingeschränkten Kognition dennoch als erste Instanz, geht die beschwerdeführende Person sowohl auf der Ebene des Sachverhalts als auch auf der Ebene der Rechtsanwendung einer freien Prüfung verlustig (vgl. Art. 97 BGG sowie Art. 106 Abs. 1 BGG i.V.m. Art. 95 BGG im Vergleich zu Art. 110 BGG ). Ergibt sich ein Ausstandsgrund demgegenüber direkt als Ausfluss aus Art. 30 Abs. 1 BV , besteht eine andere Ausgangslage: Das Bundesgericht prüft hinreichend begründete Rügen im Zusammenhang mit einer Verletzung von Art. 30 Abs. 1 BV mit freier Kognition (vgl. Art. 95 lit. a BGG i.V.m. Art. 106 Abs. 2 BGG ).</w:t>
      </w:r>
    </w:p>
    <w:p>
      <w:r>
        <w:rPr>
          <w:b/>
        </w:rPr>
        <w:t>E. 4.2.3</w:t>
      </w:r>
    </w:p>
    <w:p>
      <w:r>
        <w:t>Demzufolge ist die Rüge der Verletzung eines kantonalrechtlich geregelten Ausstandsgrunds unmittelbar in der Beschwerde in öffentlich-rechtlichen Angelegenheiten zumindest dann zulässig, wenn sich der geltend gemachte Ausstandsgrund - wie vorliegend - direkt gestützt auf Art. 30 Abs. 1 BV beurteilen lässt und die Mitwirkung eines Gerichtsmitglieds mit dieser Verfassungsbestimmung potenziell im Konflikt steht.</w:t>
      </w:r>
    </w:p>
    <w:p>
      <w:r>
        <w:rPr>
          <w:b/>
        </w:rPr>
        <w:t>E. 5</w:t>
      </w:r>
    </w:p>
    <w:p>
      <w:r>
        <w:t>Die Beschwerdeführerin rügt eine Verletzung von Art. 30 Abs. 1 BV aufgrund der Missachtung qualifizierter Ausstandsregeln.</w:t>
      </w:r>
    </w:p>
    <w:p>
      <w:r>
        <w:rPr>
          <w:b/>
        </w:rPr>
        <w:t>E. 5.1</w:t>
      </w:r>
    </w:p>
    <w:p>
      <w:r>
        <w:t>Gemäss Art. 30 Abs. 1 BV hat jede Person Anspruch darauf, dass ihre Sache von einer oder einem unparteiischen, unvoreingenommenen und unbefangenen Richterin oder Richter ohne Einwirken sachfremder Umstände entschieden wird. Ob diese Garantien verletzt BGE 147 I 173 S. 179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BGE 137 I 227 E. 2.1 S. 229). Die Befangenheit einer Richterin oder eines Richters kann sich nicht nur aus der besonderen Konstellation im Einzelfall, sondern auch aus der vom Kanton gewählten Gerichtsorganisation ergeben (vgl. BGE 136 I 207 E. 3.2 S. 210 f.). Nach ständiger bundesgerichtlicher Rechtsprechung muss der Ablehnungs- oder Ausstandsgrund unverzüglich nach Kenntnisnahme geltend gemacht werden (vgl. BGE 144 IV 35 E. 2.2 i.f. S. 41; BGE 140 I 240 E. 2.4 S. 244; BGE 126 III 249 E. 3c S. 253).</w:t>
      </w:r>
    </w:p>
    <w:p>
      <w:r>
        <w:rPr>
          <w:b/>
        </w:rPr>
        <w:t>E. 5.2</w:t>
      </w:r>
    </w:p>
    <w:p>
      <w:r>
        <w:t>Das Bundesgericht befasste sich in einer Vielzahl von Fällen mit der Ausstandspflicht von Richterinnen und Richtern im Lichte von Art. 30 Abs. 1 BV .</w:t>
      </w:r>
    </w:p>
    <w:p>
      <w:r>
        <w:rPr>
          <w:b/>
        </w:rPr>
        <w:t>E. 5.2.1</w:t>
      </w:r>
    </w:p>
    <w:p>
      <w:r>
        <w:t>Nach der bundesgerichtlichen Rechtsprechung begründet die blosse Kollegialität zwischen den Mitgliedern eines Gerichts keine Ausstandspflicht: In diesem Sinne verneinte das Bundesgericht eine Ausstandspflicht für Bundesrichterinnen und Bundesrichter in einer Angelegenheit, in der (einer) der Beschwerdeführer vor Bundesgericht ein ehemaliger nebenamtlicher Bundesrichter gewesen war (vgl. BGE 141 I 78 E. 3.3 S. 82). Gleiches erwog es für eine Konstellation, in der der Rechtsvertreter, der eine Partei vor dem Verwaltungsgericht vertrat, zugleich nebenamtlicher Richter am selben Gericht war. Der blosse Umstand, dass ein Parteivertreter in Drittverfahren am (selben) Gericht ein Ersatzrichteramt bekleidet, stellt im Grundsatz die Unbefangenheit der Gerichtsmitglieder nicht in Frage (vgl. BGE 139 I 121 E. 5 S. 125 ff.). Als unbefangen erschien auch die Richterin in einem Prozess, in dem ein Mitglied der Rechtsmittelinstanz als Parteivertreter auftrat. Die Beziehung einer unterinstanzlichen Richterin zu einem Anwalt, der gleichzeitig Mitglied einer Rechtsmittelinstanz ist, geht im Allgemeinen nicht wesentlich BGE 147 I 173 S. 180 über die Kollegialität unter Mitgliedern desselben Gerichts hinaus (vgl. BGE 133 I 1 E. 6.6 S. 9). Es ist auch nicht verfassungswidrig, wenn ein Ersatzrichter einer oberen Gerichtsbehörde über ein Rechtsmittel gegen einen Entscheid einer unteren Gerichtsbehörde befindet, der er selber als ordentliches Mitglied angehört (vgl. Urteil 4A_388/ 2014 vom 24. September 2014 E. 3.3).</w:t>
      </w:r>
    </w:p>
    <w:p>
      <w:r>
        <w:rPr>
          <w:b/>
        </w:rPr>
        <w:t>E. 5.2.2</w:t>
      </w:r>
    </w:p>
    <w:p>
      <w:r>
        <w:t>Hingegen anerkannte das Bundesgericht in diversen Konstellationen eine Verletzung von Art. 30 Abs. 1 BV : Eine Verletzung lag in einer Angelegenheit vor, in der eine Ersatzrichterin Schadenersatz- und Genugtuungsansprüche gegen die Universität Zürich mitbeurteilte, obwohl sie an der Universität Zürich zugleich Titularprofessorin war (vgl. Urteil 8C_642/2016 vom 27. März 2017 E. 4). Im Weiteren bejahte das Bundesgericht den Anschein der Befangenheit einer Oberrichterin wegen einer besonderen Nähe ihres Ehemanns und ihres Schwagers zu einer mit einer Verfahrenspartei eng verbundenen Person (vgl. BGE 140 III 221 E. 5.2 S. 224 ff.). Gleichermassen durfte ein Richter nicht über Entscheide einer Behörde urteilen, die seine Ehefrau durch ihre Weisung als stellvertretende Abteilungsleiterin veranlasst hatte (vgl. BGE 140 I 240 E. 2 S. 241 ff.). Zum gleichen Ergebnis gelangte das Bundesgericht auch in einer Angelegenheit, in der ein ehemaliger Gemeindeangestellter gegen die Gemeinde prozessierte. Der mit der Sache befasste Gerichtspräsident hatte in den Ausstand zu treten, da er bei den bevorstehenden Wahlen als Gemeinderat dieser Gemeinde kandidierte (vgl. Urteil 1P.667/2006 vom 29. November 2006 E. 3.2 f., in: Pra 2007 Nr. 101 S. 663, ZBI 109/2008 S. 280 und RDAF 2009 I S. 425). Das Bundesgericht hatte sich sodann wiederholt mit Fällen zu befassen, in denen ein nebenamtlicher Richter wegen seiner hauptberuflichen Tätigkeit in einer Anwaltskanzlei mit einer Prozesspartei besonders verbunden war: Ein als Richter amtender Anwalt erschien als befangen, solang zu einer der Prozessparteien ein noch offenes Mandat bestand oder wenn er für eine Prozesspartei in dem Sinne mehrmals anwaltlich tätig wurde, dass eine Art Dauerbeziehung vorlag (vgl. BGE 138 I 406 E. 5.3 f. S. 407 ff.; BGE 135 I 14 E. 4.1 S. 15 f.). Der Anschein der Befangenheit ergab sich auch bei einem nebenamtlichen Richter, wenn nicht er ein Mandat mit einer Prozesspartei unterhielt, sondern ein anderer Anwalt seiner Kanzlei (vgl. BGE 139 III 433 E. 2.1.5 S. 438). Ausserdem bejahte das Bundesgericht eine besondere Verbundenheit und damit den Anschein der Befangenheit, als ein offenes Mandat des als nebenamtlicher Richter tätigen BGE 147 I 173 S. 181 Anwalts oder seiner Kanzlei nicht nur zu einer Verfahrenspartei, sondern auch zu einer mit dieser eng verbundenen Person (Konzernschwestergesellschaft) bestand (vgl. BGE 139 III 433 E. 2.3 f. S. 441 ff.).</w:t>
      </w:r>
    </w:p>
    <w:p>
      <w:r>
        <w:rPr>
          <w:b/>
        </w:rPr>
        <w:t>E. 5.3</w:t>
      </w:r>
    </w:p>
    <w:p>
      <w:r>
        <w:t>Im Lichte der bisher ergangenen bundesgerichtlichen Rechtsprechung zur aus Art. 30 Abs. 1 BV fliessenden Ausstandspflicht von Richterinnen und Richtern ist im Folgenden die Mitwirkung von A. zu beurteilen.</w:t>
      </w:r>
    </w:p>
    <w:p>
      <w:r>
        <w:rPr>
          <w:b/>
        </w:rPr>
        <w:t>E. 5.3.1</w:t>
      </w:r>
    </w:p>
    <w:p>
      <w:r>
        <w:t>Die Mitwirkung von A. erweist sich deshalb als bedenklich, da er als mitwirkender Kantonsrichter, der zugleich als Gemeinderat amtiert, auf Ersuchen einer anderen Gemeinde des gleichen Kantons über eine Angelegenheit des interkommunalen Finanzausgleichs urteilt. Unabhängig von der Auslegung der kantonalrechtlichen Bestimmungen ist der vorliegenden Angelegenheit aufgrund der zu beurteilenden (inter-)kommunalen Thematik eine Befangenheit immanent: Als amtierendes Mitglied einer Gemeindexekutive urteilt A. in seiner kantonalen richterlichen Funktion über eine Angelegenheit einer anderen Gemeinde. Die Beantwortung der Rechtsfragen, die sich im Zusammenhang mit der Beurteilung des interkommunalen Finanzausgleichs stellen, wirkt sich nicht lediglich auf die Beschwerdeführerin aus. Sie hat potenziell auch auf die Gemeinde einen Einfluss, in deren Gemeinderat A. Mitglied ist. Er ist als Kantonsrichter zufolge seines Doppelmandats bei objektiver Betrachtung befangen, da der Anschein besteht, dass er bei der Anwendung der kantonalen Bestimmungen zum interkommunalen Finanzausgleich Interessen aus seiner Tätigkeit als Mitglied der Exekutive einer anderen Gemeinde wahrnehmen könnte. Dass die Gemeinde U., in der A. als Gemeinderat amtet, finanziell von einer Ablehnung des Gesuchs der Beschwerdeführerin "nur marginal betroffen" - d.h. im Umfang von 2,3 % oder von rund Fr. 46'000.- - sein soll, ändert daran entgegen der Auffassung des Regierungsrats nichts. Infolgedessen ergibt sich durch seine Mitwirkung im vorinstanzlichen Verfahren eine Verletzung von Art. 30 Abs. 1 BV .</w:t>
      </w:r>
    </w:p>
    <w:p>
      <w:r>
        <w:rPr>
          <w:b/>
        </w:rPr>
        <w:t>E. 5.3.2</w:t>
      </w:r>
    </w:p>
    <w:p>
      <w:r>
        <w:t>Für ein solches Verständnis sprechen überdies die einschlägigen kantonalen Bestimmungen: Auch wenn § 34 Abs. 3 GOG bloss vorsieht, dass Mitarbeiterinnen und Mitarbeiter der Gemeinden nicht in eine Abteilung des Kantonsgerichts Einsitz nehmen können, die Verfassungs- und Verwaltungssachen zu beurteilen hat, scheint es, als hätte der kantonale Gesetzgeber mit § 34 Abs. 5 GOG für Gerichtsmitglieder in bestimmten Konstellationen bewusst eine BGE 147 I 173 S. 182 weitergehende Unvereinbarkeitsregelung angestrebt. Das Gerichtsorganisationsgesetz, das für A. in seiner Funktion als Kantonsrichter anwendbar ist, behält ausdrücklich Unvereinbarkeitsvorschriften anderer Gesetze vor (vgl. § 34 Abs. 5 GOG). Gemäss § 9 Abs. 1 GemG dürfen Mitglieder des Kantonsgerichts nicht den Gemeindebehörden und den Kontrollorganen angehören. Insofern liegt entgegen der Auffassung des Regierungsrats kein Normkonflikt zwischen dem kantonalen Gerichtsorganisations- und dem kantonalen Gemeindegesetz vor. Vielmehr wird das Gerichtsorganisationsgesetz aufgrund des Vorbehalts von § 34 Abs. 5 GOG mit der Unvereinbarkeitsbestimmung des Gemeindegesetzes ergänzt.</w:t>
      </w:r>
    </w:p>
    <w:p>
      <w:r>
        <w:rPr>
          <w:b/>
        </w:rPr>
        <w:t>E. 5.3.3</w:t>
      </w:r>
    </w:p>
    <w:p>
      <w:r>
        <w:t>Ausserdem ist nicht ersichtlich, dass die Beschwerdeführerin die allfällige Unvereinbarkeit der Mitwirkung von A. im Sinne eines Ausstandsgrunds erst verspätet geltend gemacht hätte. Sie ist unmittelbar nach der Kenntnisnahme am 16. Januar 2020 an die Vorinstanz gelangt. Insbesondere hat die Beschwerdeführerin nicht bereits durch die blosse Bekanntgabe der Änderung der Spruchkörperzusammensetzung vom 29. November 2019 oder durch die mündliche Eröffnung des Urteils am 18. Dezember 2019 von einem allfälligen Ausstandsgrund Kenntnis genommen. Sie hat nicht davon ausgehen müssen, dass ein Mitglied des Spruchkörpers zugleich Mitglied der Gemeindeexekutive einer anderen Gemeinde ist, zumal § 9 Abs. 1 GemG dies ausschliesst. Es kann von der Beschwerdeführerin zudem nicht verlangt werden, dass sie in den sie betreffenden Verfahren jeweils sämtliche Mitglieder des Spruchkörpers auf rechtswidrige Doppelmandate sowie deren Mitwirkung auf allfällige kantonalrechtlich geregelte Unvereinbarkeiten hin prüft. Somit stellt der geltend gemachte Ausstandsgrund eine erhebliche Tatsache dar, die im vorinstanzlichen Verfahren bis zur mündlichen Urteilseröffnung nicht hätte geltend gemacht werden müssen und als Beschwerdegrund im Rechtsmittelverfahren vor Bundesgericht noch vorgebracht werden kann (vgl. auch § 40 Abs. 2 lit. c des Verwaltungsverfahrensgesetzes Basel-Landschaft vom 13. Juni 1988 [VwVG/ BL; SGS 175]).</w:t>
      </w:r>
    </w:p>
    <w:p>
      <w:r>
        <w:rPr>
          <w:b/>
        </w:rPr>
        <w:t>E. 5.4</w:t>
      </w:r>
    </w:p>
    <w:p>
      <w:r>
        <w:t>Nach dem Dargelegten liegt eine Verletzung von Art. 30 Abs. 1 BV vor. Im Grundsatz ist nach bundesgerichtlicher Rechtsprechung ein unter Missachtung von Ausstandspflichten zustande gekommener Entscheid unabhängig von seiner inhaltlichen Richtigkeit aufzuheben (vgl. Urteil 1C_517/2018 vom 4. April 2019 E. 3). Damit erübrigt sich die Behandlung des Hauptantrags um Feststellung der BGE 147 I 173 S. 183 Nichtigkeit sowie der materiellen Aspekte der Beschwerde. Ausserdem kann offenbleiben, ob der Anwendungsbereich von Art. 6 EMRK , dessen Verletzung die Beschwerdeführerin ebenfalls rügt, bei Streitigkeiten im Zusammenhang mit dem interkommunalen Finanzausgleich eröffnet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