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16</w:t>
      </w:r>
    </w:p>
    <w:p>
      <w:r>
        <w:t>Bundesgericht (BGE), 2020-01-01, IT</w:t>
      </w:r>
    </w:p>
    <w:p>
      <w:r>
        <w:rPr>
          <w:b/>
        </w:rPr>
        <w:t xml:space="preserve">Quelle: </w:t>
      </w:r>
      <w:r>
        <w:t>https://mcp.opencaselaw.ch/entscheid/bge_BGE_147_I_16</w:t>
      </w:r>
    </w:p>
    <w:p>
      <w:r>
        <w:t>FR: ATF 147 I 16</w:t>
      </w:r>
    </w:p>
    <w:p>
      <w:r>
        <w:t>IT: DTF 147 I 16</w:t>
      </w:r>
    </w:p>
    <w:p>
      <w:pPr>
        <w:pStyle w:val="Heading2"/>
      </w:pPr>
      <w:r>
        <w:t>Regeste</w:t>
      </w:r>
    </w:p>
    <w:p>
      <w:r>
        <w:t>Regeste Art. 35a-35t des Tessiner Gesetzes vom 6. Dezember 1994 über den öffentlichen Verkehr (LTPub) und Verordnung vom 28. Juni 2016 über die Erschliessungsgebühr (RTColl); Art. 127 Abs. 2 BV; Erschliessungsgebühr; abstrakte Normenkontrolle insbesondere unter dem Gesichtspunkt des Gleichbehandlungsgrundsatzes. Bei der Erschliessungsgebühr, die nur in bestimmten Gemeinden von Grundeigentümern mit 50 oder mehr Parkplätzen erhoben wird, handelt es sich um eine Sondersteuer mit Lenkungszwecken (E. 3.5.2). Grundsatz der Gleichbehandlung in Steuersachen (E. 4.2.2-4.2.5). Die Entscheidung des Tessiner Gesetzgebers, Grundstücke mit weniger als 50 Parkplätzen von der Steuerpflicht auszunehmen, wirft Fragen in Bezug auf den Gleichbehandlungsgrundsatz auf, insbesondere in Bezug auf die festgelegte Abgabegrenze und die Gleichbehandlung der direkten Konkurrenten (E. 5.3.3). Angesichts des Ermessensspielraums des kantonalen Gesetzgebers und der Tatsache, dass es sich bei der Erschliessungsgebühr, die Teil eines Gesamtkonzepts zur Neuausrichtung der Mobilität ist, um eine Entscheidung mit starker politischer Ausrichtung handelt, ist sie jedoch nicht zu beanstanden (E. 5.4). Hinweis an die Behörden (E. 5.5).</w:t>
      </w:r>
    </w:p>
    <w:p>
      <w:r>
        <w:t>Regeste Art. 35a-35t de la loi tessinoise du 6 décembre 1994 sur les transports publics (LTPub) et règlement du 28 juin 2016 sur la taxe de raccordement (RTColl); art. 127 al. 2 Cst.; taxe de raccordement; contrôle abstrait des normes, en particulier sous l'angle du principe de l'égalité de traitement. La taxe de raccordement, qui n'est perçue que dans certaines communes auprès des propriétaires fonciers qui possèdent 50 places de stationnement ou plus, représente un impôt spécial d'affectation avec un but d'orientation (consid. 3.5.2). Principe de l'égalité de traitement en matière fiscale (consid. 4.2.2-4.2.5). La décision du législateur tessinois d'exonérer de la taxe les biens-fonds sur lesquels se trouvent moins de 50 places de stationnement soulève des questions quant au principe de l'égalité de traitement, en particulier en ce qui concerne la limite de l'imposition adoptée et l'égalité de traitement des concurrents directs (consid. 5.3.3). Compte tenu de la marge de manoeuvre laissée au législateur cantonal et du fait que la taxe de raccordement, qui s'inscrit dans un concept global de réorientation de la mobilité, est un choix à forte connotation politique, celle-ci peut toutefois être admise (consid. 5.4). Indication à l'égard des autorités (consid. 5.5).</w:t>
      </w:r>
    </w:p>
    <w:p>
      <w:r>
        <w:t>Regesto Art. 35a-35t della legge ticinese del 6 dicembre 1994 sui trasporti pubblici (LTPub) e regolamento del 28 giugno 2016 sulla tassa di collegamento (RTColl); art. 127 cpv. 2 Cost.; tassa di collegamento; controllo astratto delle norme, segnatamente dal profilo del principio della parità di trattamento. La tassa di collegamento, esatta solo in determinati Comuni dai proprietari fondiari che possiedono 50 posti auto e più, è un'imposta speciale a destinazione vincolata con uno scopo d'orientamento (consid. 3.5.2). Principio della parità di trattamento in ambito fiscale (consid. 4.2.2-4.2.5). La decisione del legislatore ticinese di estromettere dall'assoggettamento i fondi sui quali vi sono meno di 50 posti auto solleva riserve dal profilo del principio della parità di trattamento, segnatamente per quanto concerne il limite d'imposizione adottato e la parità di trattamento tra concorrenti diretti (consid. 5.3.3). Considerato però il potere discrezionale del legislatore cantonale e tenuto conto che la tassa di collegamento, tassello di un concetto globale di riorientamento della mobilità, costituisce una scelta con una forte connotazione politica, essa può essere tutelata (consid. 5.4). Monito all'autorità (consid. 5.5).</w:t>
      </w:r>
    </w:p>
    <w:p>
      <w:pPr>
        <w:pStyle w:val="Heading2"/>
      </w:pPr>
      <w:r>
        <w:t>Erwägungen</w:t>
      </w:r>
    </w:p>
    <w:p>
      <w:r>
        <w:rPr>
          <w:b/>
        </w:rPr>
        <w:t>E. 2</w:t>
      </w:r>
    </w:p>
    <w:p>
      <w:r>
        <w:t>L'ammontare della tassa, che non può superare il 50 % del disavanzo d'esercizio, è fissato dal Consiglio di Stato.</w:t>
      </w:r>
    </w:p>
    <w:p>
      <w:r>
        <w:rPr>
          <w:b/>
        </w:rPr>
        <w:t>E. 3</w:t>
      </w:r>
    </w:p>
    <w:p>
      <w:r>
        <w:t>L'importo a carico di ciascun obbligato è definito in funzione del volume di traffico generato e dei vantaggi particolari ottenuti.</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 numerus clausus , di prelevare le imposte che vogliono, secondo le modalità da loro decise e per le finalità da loro volute (combinando, ad esempio, BGE 147 I 16 S. 26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 la ripartizione delle competenze tra la Confederazione e i Cantoni oppure la portata dei principi della legalità e dell'uguaglianza di trattamento; cfr. sentenza 2C_466/2008 del 10 luglio 2009 consid. 4.1, pubblicata parzialmente in: RDAF 2010 II pagg. 401 segg.).</w:t>
      </w:r>
    </w:p>
    <w:p>
      <w:r>
        <w:rPr>
          <w:b/>
        </w:rPr>
        <w:t>E. 3.2</w:t>
      </w:r>
    </w:p>
    <w:p>
      <w:r>
        <w:t>In materia di tributi pubblici, la giurisprudenza e la dottrina recente distinguono tra imposte, contributi (o tasse) causali e tasse di orientamento ( DTF 143 I 220 consid. 4.1 pag. 221; DTF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HÖHN/WALDBURGER, Steuerrecht, vol. I, 9 a ed. 2001-2002, § 1 n. 3 seg.; ADRIAN HUNGERBÜHLER, Grundsätze des Kausalabgabenrechts, ZBl 104/2003 pag. 505 segg., segnatamente pag. 507; XAVIER OBERSON, Droit fiscal suisse, 4 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DTF 131 I 313 consid. 3.3 pag. 317; BLUMENSTEIN/LOCHER, System des schweizerischen Steuerrechts, 7 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DTF 135 I 130 consid. 2 pag. 133 seg.; DTF 122 I 305 consid. 4b pag. 309 seg.; sentenza 2C_483/2015 del 22 marzo 2016 consid. 4.1.2). BGE 147 I 16 S. 27 A dipendenza del fatto che alimentano le finanze generali dello Stato o che sono destinate a delle spese specifiche, le imposte vanno suddivise in imposte a carattere generale e imposte a destinazione vincolata ("Zwecksteuer" - "impôt d'affectation").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("Kostenanlastungssteuern" - "impôts d'attribution des coûts").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("Lenkungssteuer"; "impôt d'orientation") e di tassa BGE 147 I 16 S. 28 (contributo) causale d'orientamento ("Lenkungskausalabgabe"; "taxe causale d'orientation") (ad es.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dalle ricorrenti,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Nel loro allegato di replica le ricorrenti censurano la violazione del principio della legalità. In ambito tributario detto principio è un diritto costituzionale indipendente ancorato nell' art. 127 cpv. 1 Cost. , il quale prescrive che il regime fiscale, in particolare la cerchia dei contribuenti, l'imponibile e il suo calcolo, dev'essere, nelle linee essenziali, disciplinato dalla legge medesima. A loro parere infatti la normativa litigiosa non contiene tutti gli elementi determinanti; segnatamente difetterebbe il campo di applicazione territoriale, che stabilisce direttamente la cerchia dei contribuenti e, di riflesso, le esenzioni, disciplinato non dalla LTPub, bensì dal Regolamento della legge sullo sviluppo territoriale, nel suo Allegato 1. Di avviso opposto è invece il Consiglio di Stato, il quale considera che nella legge (in senso formale) querelata figurano tutti gli elementi richiesti, cioè la cerchia dei contribuenti (art. 35b e 35c LTPub), le esenzioni (art. 35d LTPub) nonché i criteri per determinare l'ammontare della tassa e il suo calcolo (art. 35e e 35f LTPub).</w:t>
      </w:r>
    </w:p>
    <w:p>
      <w:r>
        <w:rPr>
          <w:b/>
        </w:rPr>
        <w:t>E. 3.4.3</w:t>
      </w:r>
    </w:p>
    <w:p>
      <w:r>
        <w:t>Sennonché detta censura, formulata per la prima volta nell'allegato di replica, non adempie le esigenze poste dalla prassi affinché possa essere considerata, ciononostante, ricevibile (su questo aspetto DTF 135 I 19 consid. 2.2 pag. 21 e rinvii). In effetti, avrebbe potuto senz'altro essere già sollevata nell'atto di ricorso. Al riguardo il gravame sfugge ad un esame di merito. BGE 147 I 16 S. 29</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Di fronte a questa difficile situazione si è quindi voluto riorientare la domanda di mobilità con una politica d'intervento composta da più misure complementari, tra cui il miglioramento dell'offerta di trasporto publico e transfrontaliero, la realizzazione (quali alternative all'automobile) di percorsi ciclabili o impianti Park &amp; Ride, la promozione di forme di mobilità più razionali ("carsharing", "carpooling",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("Lenkungssteuer").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BGE 147 I 16 S. 30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 Messaggio del Consiglio di Stato 6987 del 23 settembre 2014 concernente il Preventivo 2015 pag. 6). La presente fattispecie è paragonabile alle sentenze 2P.111/2002 del 13 dicembre 2002 parzialmente pubblicata in ZBl 104/2003 pag. 557 e RDAF 2004 II pag. 259 nonché 2P.199/2000 del 14 maggio 2001 parzialmente pubblicata in ZBl 103/2002 pag. 77, Pra 2002 Nr. 51 pag. 275 e RDAF 2003 I pag.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del'imposta e della garanzia della proprietà. BGE 147 I 16 S. 31 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 art. 35t LTPub) e, quindi, di controllare l'efficacia del provvedimento e, di riflesso, di adottare, se del caso, i necessari correttivi (cfr. consid. 5.5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 BGE 147 I 16 S. 32 4.</w:t>
      </w:r>
    </w:p>
    <w:p>
      <w:r>
        <w:rPr>
          <w:b/>
        </w:rPr>
        <w:t>E. 4</w:t>
      </w:r>
    </w:p>
    <w:p>
      <w:r>
        <w:t>Il Regolamento stabilisce le ulteriori condizioni.</w:t>
      </w:r>
    </w:p>
    <w:p>
      <w:r>
        <w:rPr>
          <w:b/>
        </w:rPr>
        <w:t>E. 4.1</w:t>
      </w:r>
    </w:p>
    <w:p>
      <w:r>
        <w:t>Le ricorrenti censurano la violazione dei principi della generalità e dell'uniformità dell'imposizione come pure dell'imposizione secondo la capacità economica ( art. 127 cpv. 2 Cost. ) nonché di vari diritti e principi costituzionali, cioè dell'uguaglianza giuridica ( art. 8 Cost. ), del divieto dell'arbitrio ( art. 9 Cost. ), della parità di trattamento tra concorrenti diretti ( art. 27 Cost. ), della garanzia della proprietà privata ( art. 26 Cost. ) e della libertà economica ( art. 27 e 94 Cost. ).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DTF 138 I 321 consid. 3.2 pag. 324; DTF 136 II 120 consid. 3.3.2 pag. 127 seg.; DTF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DTF 136 II 120 consid. 3.3.2 pag. 127 seg.; DTF 136 I 1 consid. 4.1 pag. 5 seg.; DTF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DTF 136 I 1 consid. 4.3.2 pag. 8; DTF 136 II 120 consid. 3.3.2 pag. 127 seg.; DTF 133 I 206 consid. 11 pag. 229 segg. con ulteriori rinvii) e che - in generale - quest'ultimo ha un ampio spazio di manovra ( DTF 143 I 1 consid. 3.3 pag. 8; DTF 136 I 1 consid. 4.1 pag. 5 seg.; DTF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BGE 147 I 16 S. 33 pertanto tenere conto dei principi della generalità e dell'uniformità dell'imposizione, così come di quello dell'imposizione secondo la capacità economica ( DTF 141 I 78 consid. 9.1 pagg. 90 segg.; DTF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DTF 133 I 206 consid. 7.2 pag. 218; DTF 132 I 157 consid. 4.2 pag. 163 con rispettivi rinvii).</w:t>
      </w:r>
    </w:p>
    <w:p>
      <w:r>
        <w:rPr>
          <w:b/>
        </w:rPr>
        <w:t>E. 4.2.4</w:t>
      </w:r>
    </w:p>
    <w:p>
      <w:r>
        <w:t>Nella valutazione di disposti legali, inevitabilmente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BGE 147 I 16 S. 34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DTF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dala concreta responsabilità di questo gruppo. Inoltre, è ammesso sia una schematizzazione del tributo (nel senso che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BGE 147 I 16 S. 35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pagg.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 5.</w:t>
      </w:r>
    </w:p>
    <w:p>
      <w:r>
        <w:rPr>
          <w:b/>
        </w:rPr>
        <w:t>E. 5</w:t>
      </w:r>
    </w:p>
    <w:p>
      <w:r>
        <w:t>La tassa è dovuta per i giorni di effettivo esercizio dei posteggi, ritenut di regola 360 giorni all'anno per quelli connessi ad attività in esercizio ogni giorno, 300 giorni per quelle in esercizio sei giorni alla settimana e 250 giorni per quelle in esercizio fino a cinque giorni alla settimana.</w:t>
      </w:r>
    </w:p>
    <w:p>
      <w:r>
        <w:rPr>
          <w:b/>
        </w:rPr>
        <w:t>E. 5.1</w:t>
      </w:r>
    </w:p>
    <w:p>
      <w:r>
        <w:t>A giustificazione della richiesta di annullamento degli articoli di legge contestati, le ricorrenti adducono in primo luogo che così come è stata concepita la tassa di collegamento querelata viola in maniera lampante e sotto più aspetti il principio dell'uguaglianza dell'imposizione. In primo luogo contestano il fatto che, in applicazione dell'art. 35b cpv. 1 LTpub, l'assoggettamento sia limitato, dal profilo territoriale, ai soli Comuni del Cantone nei quali si applica, giusta gli art. 42 e 43 della legge del 21 giugno 2011 sullo sviluppo BGE 147 I 16 S. 36 territoriale (LST; RL/TI 701.100), il Regolamento cantonale posteggi privati, costituito dagli art. 51 a 62 del regolamento del 20 dicembre 2011 della legge sullo sviluppo territoriale (RLst; RL/TI 700.110) nonché dall'Allegato 1 (cioè l'elenco dei Comuni interessati). Producendo una cartina, estrapolata dal Commentario esplicativo sull'applicazione del Regolamento cantonale posteggi privati, pubblicato dalla Sezione della mobilità del Dipartimento del territorio del Cantone Ticino (versione 19.05.2015) ove i Comuni interessati sono evidenziati, le ricorrenti affermano che, dal profilo fiscale, non vi è alcuna giustificazione possibile per ammettere un trattamento differente tra due proprietari di fondi sui quali vi è lo stesso numero di posteggi (50 o più) al servizio di attività economiche unicamente in base al Comune o, addirittura al quartiere all'interno del medesimo Comune politico. Ad esempio nel Comune di Mendrisio sono assoggettati al tributo litigioso i proprietari di fondi situati nei quartieri di Mendrisio, Capolago, Genestrerio, Ligornetto e Rancate, non invece quelli di fondi ubicati nel confinante quartiere di Arzo. Ora, escludere dei quartieri di un medesimo Comune politico sarebbe oltremodo ingiustificato, ritenuto che per raggiungerli si deve transitare per strade ubicate in zone all'interno delle quali il tributo viene prelevato. Se dunque si contribuisce in egual misura a congestionare la rete viaria, un'esenzione dall'obbligo contributivo non è giustificata. 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BGE 147 I 16 S. 37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posteggi privati si applica unicamente laddove oggettivamente si registrano problemi in materia di mobilità e di protezione dell'ambiente. Nel caso specifico le ricorrenti nulla adducono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emisioni moleste (inquinamento atmosferico, rumore, vibrazioni, radiazioni, ecc.) possono essere imposti dei provvedimenti, anche di natura finanziaria, al fine di ridurre alla fonte dette emissioni (v.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dele tasse di stazionamento oppure a creare o ampliare i trasporti publici (sentenza 1A.293/2005 del 10 luglio 2006 parzialmente pubblicata in URP 2006 pag. 894 e RDAF 2007 I pag. 495; DTF 131 II 470 consid. 4.2 pag. 479, DTF 131 II 103 consid. 2 pag. 106 segg.; DTF 125 II 129 consid. 7 e 8 pagg.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BGE 147 I 16 S. 38 trattamento ( DTF 119 Ia 378 consid. 8 pag. 385 seg.). Nella fattispecie, come spiegato dal Consiglio di Stato,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dalle ricorrenti,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Le ricorrenti intravedono in seguito una disattenzione del principio della parità di trattamento nel fatto che, in applicazione dell'art. 35b cpv. 2 LTPub, i posti auto al servizio di abitazioni sono esclusi dall'assoggettamento allorché, a loro avviso, generano lo stesso numero di movimenti dei posteggi situati sul luogo di lavoro. La censura, non meglio sostanziata, non adempie le esigenze di motivazione poste dai combinati art. 42 cpv. 2 e 106 cpv. 2 LTF e sfuge pertanto ad un esame di merito. Ma quand'anche si volesse da ciò prescindere la stessa andrebbe comunque respinta. In effetti, come spiegato dal Consiglio di Stato nella propria risposta,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 "carsharing", ecc.). Queste spiegazioni fanno apparire del tutto accettabile la differenziazione attuata, la quale non dà pertanto luogo ad una disparità di trattamento. BGE 147 I 16 S. 39</w:t>
      </w:r>
    </w:p>
    <w:p>
      <w:r>
        <w:rPr>
          <w:b/>
        </w:rPr>
        <w:t>E. 5.3.1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le ricorrenti adducono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Anzi, al contrario, niente giustificherebbe di esigere da 200 proprietari fondiari (circa 15'000 posteggi) di finanziare da soli un terzo dei costi di un servizio di base quale è quello del trasporto pubblico, ritenuto che essi non ne traggono alcun vantaggio particolare per rapporto al resto della popolazione, che queste spese non sono loro imputabili come non possono essere a loro ricondotti problemi di traffico esistenti, i quali sono semmai imputabili all'insieme dei 160'000 pendolari che quotidianamente utilizzano prevalentemente l'automobile per recarsi al lavoro. Allo stesso modo nulla giustificherebbe di escludere dall'assoggettamento i fondi sui quali vi sono meno di 50 posteggi. Affermano in seguito che a trarre in realtà un beneficio o un vantaggio particolare del servizio di trasporto pubblico sono i proprietari che non hanno posteggi rispettivamente quelli che dispongono di un numero limitato di posteggi e che nel contempo si trovano in prossimità di una fermata dei trasporti pubblici, perché detta vicinanza permette loro di accogliere un numero superiore di dipendenti o di attrarre un numero superiore di clienti. Adducono in seguito che la soglia di 50 posteggi, determinante per far scattare l'assoggettamento fiscale (art. 35b LTPub), sarebbe del tutto arbitraria e porterebbe ad una distribuzione della curva dell'onere contributivo manifestamente insostenibile - siccome passando da 49 a 50 posteggi l'onere contributivo passerebbe da fr. 0.- a fr. 53'550.- annui di media (fr. 3.50 al giorno x 50 posteggi x 360 giorni - 15 % [art. 35e cpv. 1, 3 e 5 LTPub]) - senza tralasciare che detta soglia non avrebbe alcun legame con le spese del trasporto pubblico che l'imposta querelata si prefigge di finanziare. Infine, la circostanza che la tassa querelata possa essere BGE 147 I 16 S. 40 ribaltata sugli utenti (finali) dei parcheggi, oltremodo dubbia date le difficoltà legate ad un tale trasferimento (modifiche dei contratti per i posteggi in locazione; installazione, quando ciò è attuabile, di un sistema di controllo [barriere e casse automatiche]), non permetterebbe, secondo le ricorrenti, di giungere a diversa conclusione, oltre a non mutare nulla per quanto riguarda la non conformità del tributo con i principi costituzionali dell'imposizione fiscale.</w:t>
      </w:r>
    </w:p>
    <w:p>
      <w:r>
        <w:rPr>
          <w:b/>
        </w:rPr>
        <w:t>E. 5.3.2</w:t>
      </w:r>
    </w:p>
    <w:p>
      <w:r>
        <w:t>Rammentato che tra l'offerta di posteggi e il volume del traffico motorizzato privato vi è una stretta relazione, il Consiglio di Stato osserva che l'interesse pubblico che soggiace alla tassa di colegamento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 Riguardo alla soglia di assoggettamento - cioè 50 posti auto - il Governo ticinese osserva che l'innalzamento della stessa porterebbe ad escludere un numero rilevantissimo di contribuenti, finendo per BGE 147 I 16 S. 41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"carsharing"), in aggiunta all'utilizzo dei trasporti pubblici e della mobilità lenta. Il Governo cantonale rileva poi che detta estensione dell'assoggettamento sarebbe contraria a quanto espresso dall'art. 35 LTPub che prevede che è soggetto all'imposta chi genera 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 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BGE 147 I 16 S. 42 ambito fiscale, di un ampio margine di manovra. Senza poi dimenticare che i citati principi devono essere osservati per quanto compatibili con il tipo d'imposta (art. 127 cpv. 2 prima frase Cost.; DTF 140 II 157 consid. 7.1 pag. 160 e richiami).</w:t>
      </w:r>
    </w:p>
    <w:p>
      <w:r>
        <w:rPr>
          <w:b/>
        </w:rPr>
        <w:t>E. 5.3.3</w:t>
      </w:r>
    </w:p>
    <w:p>
      <w:r>
        <w:t>La scelta del legislatore ticinese di escludere dall'assoggettamento i fondi sui quali vi sono meno di 50 posti auto (art. 35b LTPub) solleva riserve. In primo luogo perché implica, come osservato dalle ricorrenti, che la totalità delle imposte che lo Stato prevede d'incassare per mezzo della tassa di collegamento, cioè fr. 18 milioni, grava solo una minoranza di proprietari fondiari, ossia 200 di loro, che possiede solo una parte limitata dei posteggi esistenti che generano traffico, mentre la maggior parte dei proprietari dei posteggi non è invece assoggettata. In seguito perché tale scelta porta a una distribuzione dell'onere contributivo opinabile. In effetti, pasando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 art. 35e cpv. 3 LTPub), appare dubbio che gli stessi siano sufficienti per rimediare completamente allo squilibrio constatato. 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le qui ricorrenti, dispongono di centinaia o più di un migliaio di posteggi e per i quali l'onere contributivo risulta rilevante. Dai dati forniti dalle ricorrenti e non confutati dal Consiglio di Stato emerge infatti che tutte dispongono di più di 100 posti auto. Esse non possono quindi beneficiare delle riduzioni previste dalla legge e gli importi dovuti variano dai fr. 70'000.- ai fr. 1'500'000.- annui. Senza dimenticare che appare complicato se non impossibile per loro passare repentinamente sotto la soglia dei 50 posteggi. BGE 147 I 16 S. 43 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("Freigrenze", "montant seuil") è chiaramente meno equo, dal punto di vista dell'uguaglianza di trattamento dei proprietari interessati, per rispetto al fatto di privilegiare un importo o una quota esente ("Freibeitrag", "montant exonéré en tant que tel").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 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DTF 141 I 105 consid. 3.3.2 pag. 108 seg.; v.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l'importo annuo da versare è comunque cospicuo (dai fr. 70'000.- a più di un milione di franchi), senza dimenticare che viene prelevata soltanto su una parte minima dei posteggi esistenti in Ticino. BGE 147 I 16 S. 44 Il fatto poi che la tassa di collegamento possa essere addossata direttamente agli impiegati che utilizzano i parcheggi conforta il sentimento che il limite instaurato non è consono al principio della parità di trattamento. In effetti, solo quando il datore di lavoro possiede 50 posteggi e più gli impiegati (che ne fruiscono) si vedranno addebitare allora la tassa, per un importo annuale minimo pari a fr. 875.- (cfr. art. 35e cpv. 5 LTPub in relazione con l'art. 7 lett. a RTColl), mentre gli impiegati di un datore di lavoro che possiede meno di 50 posteggi non dovranno invece pagare nulla, allorché ognuno di loro genera lo stesso traffico. Con particolare riguardo ai proprietari di centri commerciali, ci si può chiedere se la soglia querelata non dia luogo a una disparità di trattamento tra concorrenti diretti (su questa nozione DTF 145 I 183 consid. 4.1.1 pag. 191 seg. e richiami). Il proprietario che mette a disposizione dei propri clienti e/o impiegati un massimo di 49 posti auto non deve versare nulla allorché quello che possiede 50 posteggi (e più) è assoggettato all'imposta. Si pone quindi la questione di sapere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DTF 143 II 598 consid. 5.1 pag. 612 seg.; DTF 143 I 37 consid. 8.2 pag. 47 seg.; DTF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 anche DTF 145 I 183 consid. 4.1.1 pag. 191 seg.; DTF 143 II 598 consid. 5.1 pag. 612 seg.; sentenza 2C_464/2017 del 17 settembre 2018 consid. 5.1 e rispettivi richiami), ha giudicato che il principio dell'uguaglianza di trattamento tra commercianti non era assoluto e non escludeva di favoreggiare determinati metodi o prodotti BGE 147 I 16 S. 45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DTF 128 II 292 consid. 5.2 pag. 299; DTF 125 I 182 consid. 5e pag. 200; sentenza 2C_804/2010 del 17 maggio 2011 consid. 4.3).</w:t>
      </w:r>
    </w:p>
    <w:p>
      <w:r>
        <w:rPr>
          <w:b/>
        </w:rPr>
        <w:t>E. 5.4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 "carsharing", il "carpooling"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BGE 147 I 16 S. 46 diminuzione dell'uso di veicoli motorizzati individuali - è concepita quale incentivo a non più costruire immensi parcheggi rispettivamente a ridimensionare quelli esistenti.</w:t>
      </w:r>
    </w:p>
    <w:p>
      <w:r>
        <w:rPr>
          <w:b/>
        </w:rPr>
        <w:t>E. 5.5</w:t>
      </w:r>
    </w:p>
    <w:p>
      <w:r>
        <w:t>La legge, al suo articolo 35t, prevede, come già accennato (consid. 3.5.2) e come peraltro evidenziato anche dal Consiglio di Stato, che la tassa di collegamento è sottoposta a un periodo di prova. Dala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w:t>
      </w:r>
    </w:p>
    <w:p>
      <w:r>
        <w:t>Nel caso in cui il numero o la destinazione dei posteggi differisse da quella autorizzata, si applica l'art. 35g. Art. 35f (nuovo) Riduzione della tassa 1 Gli assoggettati che riducono volontariamente il numero dei posti auto in esercizio beneficiano di una riduzione della tassa. 2 Un posto auto si considera dismesso quando è reso durevolmente inaccessibile agli autoveicoli e la dismissione è notificata al Municipio giu sta l'art. 11 della legge edilizia cantonale del 13 marzo 1991. 3 La riduzione è concessa una tantum ed ammonta all'importo della tassa teoricamente dovuta durante un intero anno per i posti auto dismessi. 4 La riduzione di posteggi in applicazione dell' art. 60 cpv. 4 del regolamento della legge sullo sviluppo territoriale (RLst) del 20 dicembre 2011 permette di ottenere una riduzione ulteriore della tassa, equivalente al 25 % dell'importo della tassa teoricamente dovuta durante un anno intero per i posti auto così dismessi. 5 La riduzione di cui al cpv. 4 è accordata per analogia anche in caso di formazione di nuovi posteggi in misura inferiore al numero dei posteggi necessari giusta l'art. 60 cpv. 1, 2 e 3 RLst. Art. 35g (nuovo) Posteggi abusivi 1 In base alla situazione di fatto e sino alla cessazione dell'uso indebito o al conseguimento di un'autorizzazione a posteriori, i proprietari dei fondi interamente o parzialmente adibiti a posteggio in assenza di valida autorizzazione edilizia sono soggetti al pagamento di un importo sostitutivo della tassa di collegamento. 2 L'importo sostitutivo della tassa di collegamento corrisponde all'ammontare della medesima, ritenuto l'ammontare in vigore più elevato tra quelli di cui all'art. 35e cpv. 1, computato per 360 giorni. 3 L'importo sostitutivo è prelevato dall'autorità competente. Fanno stato gli art. 35h-35n. Art. 35h (nuovo) Procedura a) obbligo di dichiarazione e collaborazione 1 I proprietari assoggettati alla tassa sono tenuti a dichiarare all'autorità competente i dati necessari per il calcolo della tassa e a notificare i relativi cambiamenti. BGE 147 I 16 S. 21 2 I proprietari assoggettati sono tenuti a fare tutto il necessario per consentire una tassazione completa ed esatta. Art. 35i (nuovo) b) accertamento L'autorità competente ha la facoltà di compiere tutti gli atti necessari all'imposizione della tassa, segnatamente di eseguire o far eseguire il con teggio dei posteggi potenzialmente oggetto della tassa, se necessario anche senza preavviso e accedendo alla proprietà privata. Art. 35l (nuovo) c) decisione 1 L'autorità competente determina annualmente l'ammontare della tassa mediante decisione di tassazione. 2 Se i proprietari assoggettati, nonostante diffida, non soddisfano i loro obblighi procedurali oppure se la tassa non può essere accertata esattamente per mancanza di dati, l'autorità competente esegue la tassazione d'ufficio in base a una valutazione ponderata. Art. 35m (nuovo) d) reclamo 1 Contro la decisione di tassazione è data facoltà di reclamo all'autorità competente, entro il termine di 30 giorni dalla notificazione. 2 L'autorità competente prende la sua decisione fondandosi sui risultati dell'istruttoria, con le medesime facoltà che le spettano in sede di tassazione, sentiti gli assoggettati, può modificare la tassazione anche a loro svantaggio. 3 Non è permesso ritirare il reclamo quando emerge dalle circostanze che la decisione di tassazione era insufficiente. Art. 35n (nuovo) e) ricorso 1 I proprietari assoggettati possono impugnare con ricorso scritto la decisione su reclamo dell'autorità competente, entro 30 giorni dalla notifica, davanti alla Camera di diritto tributario. 2 Nell'esame del ricorso, la Camera di diritto tributario ha le medesime attribuzioni dell'autorità competente nella procedura di accertamento. 3 Si applicano per il resto gli art. da 227 a 231 della legge tributaria del 21 giugno 1994. Art. 35o (nuovo) f) modifica della decisione di tassazione 1 In caso di modifica di circostanze rilevanti è data in ogni tempo la facoltà di chiedere all'autorità competente la modifica della decisione di assoggettamento. 2 La modifica ha effetto solo a far tempo dalla data della richiesta. Art. 35p (nuovo) Esigibilità La tassa di collegamento è dovuta dal momento in cui sono date le condizioni di assoggettamento. BGE 147 I 16 S. 22 Art. 35q (nuovo) Prescrizione 1 Il diritto di tassare si prescrive in cinque anni da quando sono date le condizioni di assoggettamento. 2 La prescrizione non inizia a decorrere, o è sospesa, durante la procedura di reclamo e di ricorso. Art. 35r (nuovo) Disposizioni penali 1 Chiunque viola intenzionalmente o per negligenza un obbligo che gli incombe giusta la presente legge oppure una disposizione presa in applicazione di quest'ultima, in particolare non adempie gli obblighi di dichiarazione e collaborazione, oppure ostacola l'accertamento dei dati necessari all'imposizione della tassa, è punito con la multa fino a fr. 10'000.-. 2 Le multe sono pronunciate dall'autorità competente per la decisione di tassazione. 3 Alla procedura si applica la legge di procedura per le contravvenzioni. Art. 35s (nuovo) Disposizioni esecutive Il Consiglio di Stato emana il regolamento di applicazione in cui definisce l'autorità competente e stabilisce le prescrizioni di dettaglio. Art. 35t (nuovo) Norma transitoria 1 La tassa di collegamento è soggetta a un periodo di prova della durata di 3 anni dalla sua entrata in vigore. Entro questo termine il Consiglio di Stato allestisce all'attenzione del Gran Consiglio un rapporto riguardo gli effetti della stessa, sia dal profilo finanziario, sia dal profilo della mobilità e dell'evoluzione del numero e della collocazione dei posteggi assoggettati alla tassa. 2 Il Gran Consiglio si pronuncia in merito al suo mantenimento." La modifica legislativa è stata pubblicata sul Foglio ufficiale ticinese del 18 dicembre 2015 (FU) n. 100/2015 p. 10517 con l'indicazione del termine di referendum. Essa è stata accolta in votazione popolare il 5 giugno 2016. Contestualmente all'adozione di queste nuove norme, il Consiglio di Stato del Cantone Ticino ha, a sua volta, adottato il regolamento del 28 giugno 2016 sulla tassa di collegamento (RTColl; RL/TI 752.110) del seguente tenore: " Art. 1 Scopo Il presente regolamento disciplina la tassa di collegamento di cui agli art. 35 e segg. della legge sui trasporti pubblici (LTPub) del 6 dicembre 1994. Art. 2 Autorità competente (art. 35h-35o, 35r LTPub) 1 La Sezione della mobilità del Dipartimento del territorio è l'autorità competente a prelevare la tassa di collegamento. BGE 147 I 16 S. 23 2 Essa esercita tutte le funzioni conferite dalla LTPub all'autorità competente, con facoltà di delegare a terzi il conteggio e i controlli dei posteggi assoggettati o potenzialmente assoggettati alla tassa. Art. 3 Comuni in cui si preleva la tassa (art. 35b cpv. 1 LTPub) La tassa di collegamento è prelevata nei Comuni elencati nell'allegato 1 al regolamento della legge sullo sviluppo territoriale (RLst) del 20 dicembre 2011. Art. 4 Posteggi non soggetti alla tassa (art. 35 e 35b cpv. 2 LTPub) Non sono soggetti alla tassa i posti auto e gli spazi destinati esclusivamente: a) al servizio di abitazioni; b) a veicoli di servizio, fornitori, carico e scarico, esposizione e deposito. Art. 5 Connessione spaziale e funzionale (art. 35b cpv. 2 LTPub) 1 Sono in connessione spaziale i posteggi autorizzati come impianto unitario. 2 Sono in connessione funzionale i posteggi al servizio della medesima costruzione o complesso di costruzioni, come pure quelli che possono essere utilizzati indifferentemente dalla medesima utenza. Art. 6 Esenzioni ( art. 35d LTP [sic!]) 1 Sono esentati dalla tassa i posti auto destinati esclusivamente per: a) attività alberghiere e di ristorazione; b) attività di svago e culturali (strutture sportive ed espositive, cinematografi, teatri, ecc.); c) luoghi di culto; d) i visitatori di strutture sociosanitarie. 2 Sono inoltre esentati: a) i posteggi pubblici definiti come tali dai piani regolatori ai sensi della legge sullo sviluppo territoriale (LST) del 21 giugno 2011, limitatamente ai posti auto non riservati o concessi in abbonamento a utenti che si spostano sistematicamente (pendolari); b) i posteggi di interscambio (Park and Ride); c) i posteggi di attestamento definiti dal piano direttore (art. 8 segg. LST). Art. 7 Ammontare della tassa ( art. 35e LTP [sic!]) La tassa di collegamento è stabilita: a) per i posteggi destinati al personale e ad altri utenti che si spostano in modo sistematico in fr. 3.50 al giorno per posto auto; b) per i posteggi destinati a clienti e visitatori in fr. 1.50 al giorno per posto auto. BGE 147 I 16 S. 24 Art. 8 Riduzione della tassa (art. 35f LTPub) 1 La riduzione della tassa è stabilita di regola con la decisione di tassazione (art. 11). 2 La riduzione della tassa di cui al cpv. 3 dell'art. 35f LTPub decade, se entro il termine di 10 anni i posti auto dismessi sono ripristinati. La Sezione della mobilità stabilisce l'importo da restituire in base ai posti auto ripristinati, diminuendo la pretesa proporzionalmente al periodo di effettiva dismissione. 3 La riduzione della tassa di cui al cpv. 4 dell'art. 35f LTPub è riconosciuta annualmente, nella misura in cui viene mantenuta la relativa riduzione di posteggi. 4 Quanto stabilito al cpv. 3 vale anche nel caso di riduzione di posteggi avvenuta prima dell'entrata in vigore della tassa di collegamento. 5 Se le condizioni per il conferimento della riduzione sono realizzate unicamente per una parte del periodo di tassazione (art. 11 cpv. 1), la riduzione è riconosciuta pro rata temporis. Art. 9 Procedura a) dichiarazione (art. 35h LTPub) 1 La dichiarazione dei proprietari deve indicare i fondi su cui sono ubicati i posteggi, la loro destinazione e il numero dei posti auto. 2 Alla prima dichiarazione, e successivamente in caso di modifica, va allegata la licenza edilizia con il piano di progetto approvato relativo ai posteggi. Art. 10 b) accertamento (art. 35i LTPub) 1 La Sezione della mobilità può richiedere o richiamare la documentazione attestante le circostanze rilevanti ai fini dell'assoggettamento, in particolare la licenza edilizia e il computo dei posteggi autorizzati secondo gli art. 51-62 del regolamento della legge sullo sviluppo territoriale (RLst) del 20 dicembre 2011. 2 In caso di conteggio in loco dei posteggi viene data al proprietario facoltà di partecipare; è tuttavia riservata la possibilità di effettuare conteggi senza preavviso. Art. 11 c) determinazione della tassa (art. 35e cpv. 5, 35l cpv. 1 LTPub) 1 La tassa è fissata e riscossa ogni anno per il periodo corrispondente all'anno civile. 2 Se le condizioni d'assoggettamento sono realizzate unicamente per una parte di tale periodo, la tassa è riscossa pro rata temporis. Art. 12 d) pagamento della tassa 1 La tassa deve essere pagata nei trenta giorni successivi alla sua scadenza. 2 Il debitore della tassa paga, per gli importi che non ha versato entro il termine stabilito, l'interesse di ritardo di cui all'art. 243 cpv. 1 della legge tributaria del 21 giugno 1994. L'interesse è dovuto anche in caso di reclamo o di ricorso. BGE 147 I 16 S. 25 3 Su richiesta del contribuente, la Sezione della mobilità può suddividere il pagamento della tassa fino a tre rate. È in ogni caso applicabile l'interesse di ritardo. Art. 13 Entrata in vigore ( ...) " Le modifiche legislative e il nuovo regolamento sono stati pubblicati sul Bollettino ufficiale del 1° luglio 2016 (BU 2016, 322) e la loro entrata in vigore è stata fissata al 1° agosto 2016. D. Il 28 luglio 2016 la A. (ricorrente 1), la B. SA (ricorrente 2), la C. SA (ricorrente 3), la D. AG (ricorrente 4), la E. (ricorrente 5) e la F. SA (ricorrente 6) hanno esperito dinanzi al Tribunale federale un ricorso in materia di diritto pubblico con cui chiedono che siano annullate le modifiche del 14 dicembre 2015 della LTPub, ossia l'art. 11 cpv. 1, l'art. 30 cpv. 3 e 4, gli art. 35a a 35 t LTPub nonché il regolamento del 28 giugno 2016 sulla tassa di collegamento, cioè gli art. 1 a 13 RTColl, poiché considerati lesivi del diritto federale, segnatamente degli art. 127 Cost. (imposizione fiscale), 8 e 9 Cost. (principio dell'uguaglianza giuridica e divieto dell'arbitrio), 26 Cost. (garanzia della proprietà privata) nonché 27 e 94 Cost. (principio della libertà economica). Chiamato ad esprimersi il Consiglio di Stato, agendo per sé ed in rappresentanza del Gran Consiglio, ha domandato che, per quanto ammissibile, l'impugnativa sia respinta. Le parti sono in seguito state invitate a depositare una replica e una duplica. Le ricorrenti hanno presentato ulteriori osservazioni. E. Con decreto presidenziale del 2 settembre 2016 è stato conferito l'effetto sospensivo al gravame nel senso che l'art. 11 cpv. 1, l'art. 30 cpv. 3 e 4 nonché gli art. 35a a 35 t LTPub e gli art. 1 a 13 RTColl non potevano essere applicati fino al giudizio di merito del Tribunale federale e che nell'intervallo vigeva tuttora la situazione giuridica previgente. Erwägungen Dai considerandi: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