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505</w:t>
      </w:r>
    </w:p>
    <w:p>
      <w:r>
        <w:rPr>
          <w:i/>
        </w:rPr>
        <w:t>Bundesgericht (BGE)</w:t>
      </w:r>
      <w:r>
        <w:rPr>
          <w:i/>
        </w:rPr>
        <w:t xml:space="preserve">  ·  2021-11-29</w:t>
      </w:r>
      <w:r>
        <w:rPr>
          <w:i/>
        </w:rPr>
        <w:t xml:space="preserve">  ·  FR</w:t>
      </w:r>
    </w:p>
    <w:p>
      <w:r>
        <w:rPr>
          <w:b/>
        </w:rPr>
        <w:t xml:space="preserve">Source: </w:t>
      </w:r>
      <w:r>
        <w:t>https://mcp.opencaselaw.ch/entscheid/bge_BGE_147_IV_505</w:t>
      </w:r>
    </w:p>
    <w:p>
      <w:r>
        <w:t>FR: ATF 147 IV 505 · IT: DTF 147 IV 505</w:t>
      </w:r>
    </w:p>
    <w:p>
      <w:pPr>
        <w:pStyle w:val="Heading2"/>
      </w:pPr>
      <w:r>
        <w:t>Regeste</w:t>
      </w:r>
    </w:p>
    <w:p>
      <w:r>
        <w:t>Regeste Art. 3 Abs. 2 lit. a, Art. 381 Abs. 1, Art. 391 Abs. 2, Art. 401 StPO; Zulässigkeit der Anschlussberufung; Grundsatz von Treu und Glauben im Strafverfahren. Legitimation der Staatsanwaltschaft, Anschlussberufung zu erheben, um damit das Verbot der reformatio in peius aufzuheben (vgl. Art. 391 Abs. 2 StPO; E. 4.4). Die Anschlussberufung ist nicht zulässig, wenn sie ohne nähere Begründung auf die Frage der Strafzumessung beschränkt bleibt, obwohl die Erstinstanz dem diesbezüglichen Antrag der Staatsanwaltschaft vollumfänglich gefolgt war (E. 4.4.3).</w:t>
      </w:r>
    </w:p>
    <w:p>
      <w:r>
        <w:t>Regeste Art. 3 al. 2 let. a, art. 381 al. 1, art. 391 al. 2, art. 401 CPP; recevabilité de l'appel joint du ministère public; principe de la bonne foi en procédure. Qualité du ministère public pour interjeter un appel joint ensuite d'un appel principal du prévenu, faisant ainsi obstacle à l'interdiction de la reformatio in pejus (cf. art. 391 al. 2 CPP; consid. 4.4). La juridiction d'appel n'a pas à entrer en matière sur l'appel joint du ministère public formé, sans motivation précise, sur la seule question de la peine, alors que ses réquisitions à cet égard avaient été intégralement suivies par l'autorité de première instance (consid. 4.4.3).</w:t>
      </w:r>
    </w:p>
    <w:p>
      <w:r>
        <w:t>Regesto Art. 3 cpv. 2 lett. a, art. 381 cpv. 1, art. 391 cpv. 2, art. 401 CPP; ammissibilità dell'appello incidentale del pubblico ministero; principio della buona fede processuale. Legittimazione del pubblico ministero a inoltrare un appello incidentale a seguito di un appello principale dell'imputato, escludendo in tal modo il divieto della reformatio in peius (cfr. 391 cpv. 2 CPP; consid. 4.4). Il tribunale d'appello non deve entrare nel merito dell'appello incidentale del pubblico ministero circoscritto, senza una precisa motivazione, unicamente alla questione della pena, laddove le sue richieste al riguardo siano state integralmente accolte dall'autorità di prima istanza (consid. 4.4.3).</w:t>
      </w:r>
    </w:p>
    <w:p>
      <w:pPr>
        <w:pStyle w:val="Heading2"/>
      </w:pPr>
      <w:r>
        <w:t>Erwägungen</w:t>
      </w:r>
    </w:p>
    <w:p>
      <w:r>
        <w:rPr>
          <w:b/>
        </w:rPr>
        <w:t>E. 4</w:t>
      </w:r>
    </w:p>
    <w:p>
      <w:r>
        <w:t>(...)</w:t>
      </w:r>
    </w:p>
    <w:p>
      <w:r>
        <w:rPr>
          <w:b/>
        </w:rPr>
        <w:t>E. 4.4</w:t>
      </w:r>
    </w:p>
    <w:p>
      <w:r>
        <w:t>Il reste encore à examiner les critiques exprimées par le recourant en lien avec la recevabilité des conclusions prises par le Ministère public dans son appel joint et l'application dans ce contexte du principe de l'interdiction de la reformatio in pejus . Il est à cet égard rappelé qu'en l'espèce, le Ministère public avait requis, par appel joint limité à la seule quotité de la peine, le prononcé d'une peine privative de liberté de 5 ans et demi, alors qu'en première instance, il s'était borné à demander une peine privative de liberté de 4 ans, peine qui avait été effectivement prononcée par l'autorité de première instance.</w:t>
      </w:r>
    </w:p>
    <w:p>
      <w:r>
        <w:rPr>
          <w:b/>
        </w:rPr>
        <w:t>E. 4.4.1</w:t>
      </w:r>
    </w:p>
    <w:p>
      <w:r>
        <w:t>Certes, contrairement à ce qui prévaut pour les autres parties à la procédure (cf. art. 382 al. 1 CPP ), la légitimation du ministère public pour entreprendre une décision ne dépend pas spécifiquement d'un intérêt juridiquement protégé à l'annulation ou à la modification de la décision. Il est ainsi admis que le ministère public, vu son rôle de représentant de la société, en charge de la sauvegarde des intérêts publics, peut en principe librement recourir, tant en faveur qu'en défaveur du prévenu ou du condamné (cf. art. 381 al. 1 CPP ), sans avoir besoin de justifier au surplus d'être directement lésé par le jugement attaqué (Message du 21 décembre 2005 relatif à l'unification du droit de la procédure pénale [ci-après: Message], FF 2006 1057, 1292; VIKTOR LIEBER, in Kommentar zur Schweizerischen Strafprozessordnung [StPO], Donatsch/Lieber/Summers/Wohlers [éd.], 3 e éd. 2020, vol. II, n° 2 ad art. 381 CPP ; RICHARD CALAME, in BGE 147 IV 505 S. 508 Commentaire romand, Code de procédure pénale suisse, 2 e éd. 2019, n° 5 ad art. 381 CPP ; SCHMID/JOSITSCH, Handbuch des Schweizerischen Strafprozessrechts, 3 e éd. 2017, n. 1455 p. 653).</w:t>
      </w:r>
    </w:p>
    <w:p>
      <w:r>
        <w:rPr>
          <w:b/>
        </w:rPr>
        <w:t>E. 4.4.2</w:t>
      </w:r>
    </w:p>
    <w:p>
      <w:r>
        <w:t>Pour autant, si ces considérations sont susceptibles de valoir pleinement s'agissant d'un recours (cf. art. 393 CPP ) ou d'un appel principal (cf. art. 398 CPP ) déposé par le ministère public, on ne saurait d'emblée admettre qu'il doive en aller de même en toutes circonstances pour un appel joint (cf. art. 401 CPP ), dont le caractère exclusivement accessoire par rapport à l'appel principal et les possibilités d'en abuser supposent une approche plus nuancée de la légitimation du ministère public. Ainsi, le dépôt d'un appel joint implique, par définition, que son auteur ait précisément renoncé à former un appel principal et qu'il s'était dès lors accommodé du jugement entrepris, à tout le moins sur le point soulevé dans l'appel joint. Emanant du ministère public, l'appel joint présente dans ce contexte le danger de pouvoir être utilisé essentiellement comme un moyen visant à intimider le prévenu et dès lors être une source potentielle d'abus dans l'exercice de l'action publique. Il en va ainsi en particulier lorsque l'appel joint est interjeté par le ministère public dans le seul et unique but de faire obstacle à l'application de l'interdiction de la reformatio in pejus , au détriment du prévenu auteur de l'appel principal (cf. art. 391 al. 2, 1 re phrase, a contrario CPP), et d'inciter indirectement ce dernier à le retirer (cf. MARLÈNE KISTLER VIANIN, in Commentaire romand, Code de procédure pénale suisse, 2 e éd. 2019, n° 2 ad art. 381 CPP ; GÉRARD PIQUEREZ, Traité de procédure pénale, 2 e éd. 2006, n. 1234 p. 767).</w:t>
      </w:r>
    </w:p>
    <w:p>
      <w:r>
        <w:rPr>
          <w:b/>
        </w:rPr>
        <w:t>E. 4.4.3</w:t>
      </w:r>
    </w:p>
    <w:p>
      <w:r>
        <w:t>Avant l'introduction du CPP, certains cantons ne connaissaient pas l'appel joint et d'autres avaient supprimé la possibilité pour le ministère public d'en former (en particulier les cantons de Berne et du Jura; cf. KISTLER VIANIN, op. cit., note de bas de page 2 ad art. 401 CPP ). Le législateur fédéral a pour sa part choisi d'introduire l'appel joint (cf. art. 401 CPP ), tout en obligeant le ministère public à comparaître aux débats dans une telle hypothèse (cf. art. 405 al. 3 let. b CPP ), cela afin de réduire les cas, constatés comme étant fréquents en pratique, dans lesquels l'appel joint était interjeté pour amener le prévenu à retirer son appel principal (cf. Message, FF 2006 1057, 1300 s.). Néanmoins, s'il en ressort que le législateur avait bien conscience des potentiels abus susceptibles de survenir dans le cadre du recours à l'appel joint, il demeure en l'état loisible au ministère public, sans qu'une comparution à l'audience consacre une BGE 147 IV 505 S. 509 perspective réellement dissuasive, d'interjeter un appel joint à la suite de tout appel principal d'un prévenu. Cela ne saurait toutefois être admis si le seul et unique but de l'appel joint est de faire pression sur le prévenu. Un exercice adéquat et raisonné de l'action publique implique en effet, pour le ministère public, s'il est d'avis que la sanction prononcée en première instance n'est pas équitable, de former lui-même un appel principal, qui exercera alors un effet dévolutif complet (cf. art. 398 al. 2 et 3 CPP ), sans que le sort de ses réquisitions dépende d'un éventuel retrait de l'appel principal du prévenu, qui aurait pour conséquence de rendre son appel joint caduc (cf. art. 401 al. 3 CPP ; cf. PIQUEREZ, op. cit., n. 1219 p. 760). Dans ce contexte, si, au regard de l' art. 381 al. 1 CPP , il n'y a pas matière à exiger du ministère public qu'il puisse justifier d'un intérêt juridiquement protégé lors du dépôt d'un appel joint, les considérations qui précèdent doivent en revanche conduire à se montrer particulièrement strict s'agissant de la légitimation du ministère public à former un appel joint lorsque le dépôt d'un tel acte dénote une démarche contradictoire susceptible de se heurter au principe de la bonne foi en procédure (cf. art. 5 al. 3 Cst. ; art. 3 al. 2 let. a CPP ; ATF 144 IV 189 consid. 5.1 p. 192). Il en va en particulier ainsi lorsque le ministère public forme, sans motivation précise et en l'absence de faits nouveaux dont il entendait par hypothèse se prévaloir (cf. art. 391 al. 2, 2 e phrase, CPP), un appel joint sur la seule question de la peine en en demandant une aggravation, alors que ses réquisitions à cet égard avaient été intégralement suivies par l'autorité de première instance.</w:t>
      </w:r>
    </w:p>
    <w:p>
      <w:r>
        <w:rPr>
          <w:b/>
        </w:rPr>
        <w:t>E. 4.4.4</w:t>
      </w:r>
    </w:p>
    <w:p>
      <w:r>
        <w:t>En l'espèce, le Ministère public a conclu, dans le cadre de son appel joint, au prononcé d'une peine privative de liberté de 5 ans et demi, sans motiver plus avant cette réquisition, alors qu'il s'était pourtant limité en première instance à demander une peine privative de liberté de 4 ans, qu'il avait obtenue. Cette démarche consacre un comportement contradictoire dans l'exercice de l'action publique, ce d'autant plus qu'en l'occurrence, la peine requise par appel joint n'aurait pas pu être prononcée par l'autorité de première instance devant laquelle le Ministère public avait porté l'accusation, dès lors qu'elle excédait la compétence de celle-là, qui était limitée aux peines inférieures à 5 ans en vertu du droit cantonal d'organisation judiciaire (cf. art. 56 al. 2 let. b et c de la loi du 11 juin 2009 portant introduction du code de procédure civile, du code de procédure pénale et de BGE 147 IV 505 S. 510 la loi sur la procédure pénale applicable aux mineurs [LiCPM/BE; RSB 271.1]). Cela étant, la cour cantonale aurait dû constater qu'au regard des art. 3 al. 2 let. a, 381 al. 1 et 401 CPP, le Ministère public n'était pas légitimé à former un appel joint et qu'il n'y avait donc pas lieu d'entrer en matière sur celui-ci. Dès lors, le principe de l'interdiction de la reformatio in pejus trouvait pleinement application, ce qui empêchait la cour cantonale de prononcer une peine de privation de liberté plus sévère qu'en première instance.</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