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433</w:t>
      </w:r>
    </w:p>
    <w:p>
      <w:r>
        <w:t>Bundesgericht (BGE), 1959-05-24, DE</w:t>
      </w:r>
    </w:p>
    <w:p>
      <w:r>
        <w:rPr>
          <w:b/>
        </w:rPr>
        <w:t xml:space="preserve">Quelle: </w:t>
      </w:r>
      <w:r>
        <w:t>https://mcp.opencaselaw.ch/entscheid/bge_BGE_147_IV_433</w:t>
      </w:r>
    </w:p>
    <w:p>
      <w:r>
        <w:t>FR: ATF 147 IV 433</w:t>
      </w:r>
    </w:p>
    <w:p>
      <w:r>
        <w:t>IT: DTF 147 IV 433</w:t>
      </w:r>
    </w:p>
    <w:p>
      <w:pPr>
        <w:pStyle w:val="Heading2"/>
      </w:pPr>
      <w:r>
        <w:t>Regeste</w:t>
      </w:r>
    </w:p>
    <w:p>
      <w:r>
        <w:t>Regeste Art. 30 Abs. 1 BV; Art. 59 und 62c Abs. 1 lit. a StGB; Art. 19 Abs. 2 lit. b StPO; § 38b Abs. 1 lit. d Ziff. 2 des Verwaltungsrechtspflegegesetzes des Kantons Zürich vom 24. Mai 1959 (VRG); Tragweite der einzelrichterlichen Zuständigkeit für "Streitigkeiten betreffend den Justizvollzug nach dem Straf- und Justizvollzugsgesetz" im Kanton Zürich. Die Zuständigkeit des Einzelrichters erfasst nicht auch die Überprüfung der Aufhebung einer stationären therapeutischen Massnahme wegen Aussichtslosigkeit. Es fehlt die kantonale gesetzliche Grundlage (E. 2.3); zudem ist eine einzelrichterliche Beurteilung nicht mit dem Strafprozessrecht des Bundes vereinbar (E. 2.4).</w:t>
      </w:r>
    </w:p>
    <w:p>
      <w:r>
        <w:t>Regeste Art. 30 al. 1 Cst.; art. 59 et 62c al. 1 let. a CP; art. 19 al. 2 let. b CPP; § 38b al. 1 let. d ch. 2 de la loi du canton de Zurich du 24 mai 1959 sur la procédure administrative (VRG); portée de la compétence du juge unique, dans le canton de Zurich, s'agissant des "litiges en matière d'exécution des peines et mesures". Le juge unique n'est pas compétent pour prononcer la levée d'une mesure thérapeutique institutionnelle lorsque celle-ci est vouée à l'échec. Il manque une base légale en droit cantonal (consid. 2.3); en outre, une évaluation opérée à cet égard par un juge unique n'est pas compatible avec le droit fédéral en matière de procédure pénale (consid. 2.4).</w:t>
      </w:r>
    </w:p>
    <w:p>
      <w:r>
        <w:t>Regesto Art. 30 cpv. 1 Cost.; art. 59 e 62c cpv. 1 lett. a CP; art. 19 cpv. 2 lett. b CPP; § 38b cpv. 1 lett. d n. 2 della legge del Canton Zurigo del 24 maggio 1959 sulla procedura amministrativa; portata della competenza del giudice unico per le "controversie in materia di esecuzione delle pene e delle misure" nel Canton Zurigo. Il giudice unico non è competente per pronunciarsi sulla soppressione di una misura terapeutica stazionaria per mancanza di prospettive di successo. Non sussiste una base legale cantonale (consid. 2.3); inoltre un esame da parte di un giudice unico non è compatibile con il diritto processuale penale della Confederazione (consid. 2.4).</w:t>
      </w:r>
    </w:p>
    <w:p>
      <w:pPr>
        <w:pStyle w:val="Heading2"/>
      </w:pPr>
      <w:r>
        <w:t>Erwägungen</w:t>
      </w:r>
    </w:p>
    <w:p>
      <w:r>
        <w:rPr>
          <w:b/>
        </w:rPr>
        <w:t>E. 2.1</w:t>
      </w:r>
    </w:p>
    <w:p>
      <w:r>
        <w:t>Das Bundesgericht überprüft die Anwendung von kantonalem Recht - von hier nicht zutreffenden Ausnahmen ( Art. 95 lit. c-e BGG ) abgesehen - nur auf die Verletzung verfassungsmässiger Rechte, namentlich Willkür, hin, soweit dies gerügt und anhand der Erwägungen des angefochtenen Urteils klar begründet wird ( Art. 106 Abs. 2 BGG ; BGE 141 I 105 E. 3.3.1; BGE 140 III 385 E. 2.3). Dies gilt auch hinsichtlich der kantonalrechtlich geregelten Zusammensetzung der Vorinstanz ( BGE 140 II 141 E. 1). BGE 147 IV 433 S. 435</w:t>
      </w:r>
    </w:p>
    <w:p>
      <w:r>
        <w:rPr>
          <w:b/>
        </w:rPr>
        <w:t>E. 2.2</w:t>
      </w:r>
    </w:p>
    <w:p>
      <w:r>
        <w:t>Der Beschwerdeführer macht geltend, es sei willkürlich, den Einzelrichter für sämtliche Fälle aus dem Gebiet des Straf- und Massnahmevollzugs zuständig zu erklären. Die Tragweite einer Aufhebung der therapeutischen Massnahme vor Ablauf der grundsätzlich fünfjährigen Dauer verbiete dies. Der Aufhebungsentscheid spure zudem die beantragte Verwahrung faktisch vor. § 38b des kantonalen Verwaltungsrechtspflegegesetzes, mit welchem die Vorinstanz die einzelrichterliche Spruchkompetenz begründe, werde dem Bestimmtheitsgebot nicht gerecht. Die einzelrichterliche Zuständigkeit sei auf Entscheide über den Strafvollzug zugeschnitten. Die Vorinstanz erwägt, zur Behandlung von Beschwerden betreffend den Straf- und Massnahmenvollzug sei der Einzelrichter zuständig. Da kein Fall von grundsätzlicher Bedeutung vorliege, sei die Einzelrichterin zum Entscheid berufen.</w:t>
      </w:r>
    </w:p>
    <w:p>
      <w:r>
        <w:rPr>
          <w:b/>
        </w:rPr>
        <w:t>E. 2.3</w:t>
      </w:r>
    </w:p>
    <w:p>
      <w:r>
        <w:t>Nach § 38b Abs. 1 lit. d Ziff. 2 des Verwaltungsrechtspflegegesetzes des Kantons Zürich vom 24. Mai 1959 (VRG; LS 175.2) entscheidet ein voll- oder teilamtliches Mitglied des Verwaltungsgerichts als Einzelrichter über Rechtsmittel bei Streitigkeiten betreffend den Justizvollzug nach dem Straf- und Justizvollzugsgesetz vom 19. Juni 2006 (zur Zuständigkeit des Verwaltungsgerichts: § 29 Abs. 1 des Straf- und Justizvollzugsgesetzes des Kantons Zürich vom 19. Juni 2006 [StJVG; LS 331] und § 41 Abs. 1 VRG). In Fällen von grundsätzlicher Bedeutung kann die Entscheidung einer Kammer übertragen werden (§ 38b Abs. 2 VRG). Strittig ist, ob das kantonale Recht die einzelrichterliche Erledigung generell für alle Fragen des Straf- und Massnahmenvollzugs ermöglicht. Das kantonale Verwaltungsgericht nimmt offenbar an, die Kompetenznorm komme bei allen Anordnungen der im Bereich Straf- und Massnahmenvollzug zuständigen kantonalen Behörde zum Tragen (vgl. § 2 und 5 lit. a der Justizvollzugsverordnung des Kantons Zürich vom 6. Dezember 2006 [JVV;LS 331.1]). Schon bezogen aufeine frühere Bestimmung im VRG, wonach "Anordnungen auf Grund des Straf- und Vollzugsgesetzes" einzelrichterlich zu behandeln seien, bezog das Zürcher Verwaltungsgericht die Norm nicht nur auf Anordnungen, die ihre rechtliche Grundlage einzig im selbständigen kantonalen Straf- und Vollzugsgesetz hatten, sondern auf alle Anordnungen, für welche die in diesem Gesetz genannten Behörden zuständig waren, mithin auch auf solche, die sich auf Bundesrecht stützten. Das Bundesgericht hat diese Auslegung damals als "ohne BGE 147 IV 433 S. 436 Weiteres vertretbar" eingestuft (Urteil 6A.24/2003 vom 6. Juni 2003 E. 2.2 und 2.3). Der Fokus lag dabei auf der Feststellung, die Anwendung der Kompetenznorm beschränke sich nicht auf im kantonalen Recht originär geregelte Vollzugsfragen. Der heutige § 38b Abs. 1 lit. d Ziff. 2 VRG verwendet den Begriff des "Justizvollzugs" (gemäss Legaldefinition in § 1 StJVG: Vollzug der strafrechtlichen Sanktionen) als Synonym für den Straf- und Massnahmevollzug insgesamt (MARTIN BERTSCHI, in: Kommentar zum Verwaltungsrechtspflegegesetz des Kantons Zürich [VRG],Alain Griffel[Hrsg.], 3. Aufl.2014, N. 16 f. zu § 38b VRG). Insofern setzt die Anwendung von § 38b Abs. 1 lit. d Ziff. 2 VRG nach wie vor nicht voraus, dass sich die strittige Anordnung ausschliesslich auf das StJVG stützt. Aus dieser Feststellung lässt sich aber keine umfassende Gleichsetzung mit sämtlichen funktionellen Zuständigkeiten des Amtes für Justizvollzug ableiten. Der Geltungsbereich von § 38b Abs. 1 lit. d Ziff. 2 VRG ergibt sich vielmehr aus der Natur der Einzelrichterkompetenz. Bereits die ausdrückliche Verweisung auf den "Justizvollzug nach dem StJVG" macht deutlich, dass über Durchführungsfragen hinausgehende Entscheide nicht ohne Weiteres unter den hier verwendeten Vollzugsbegriff fallen: Soweit das StJVG den Vollzug der strafrechtlichen Sanktionen regelt (§ 1 und 20 ff. StJVG), befasst es sich unter anderem mit der Sicherheitshaft (§ 22 und 22a), mit Sicherheits- und Schutzmassnahmen (§ 23 und 23a) und mit Disziplinarmassnahmen (§ 23b ff.). Ferner enthält es Bestimmungen organisatorischer und datenschutzrechtlicher Natur (§ 24 ff.). Diese Gegenstände eignen sich für die Einzelrichterkompetenz, also für ein gestrafftes und beschleunigtes Verfahren in Streitfällen mit beschränkter Bedeutung, dies namentlich in Gebieten, in denen der kantonale Gesetzgeber mit zahlreichen Fällen rechnete (BERTSCHI, a.a.O., N. 4 zu § 38b VRG). Unter das dergestalt vereinfachte Verfahren fallende Streitigkeiten betreffen jeweils die Durchführung einer Strafe oder Massnahme, bis hin zum Entscheid über eine bedingte Entlassung ( Art. 62 StGB ; vgl. MARIANNE HEER, Beendigung therapeutischer Massnahmen: Zuständigkeiten und Verfahren, AJP 2017 S. 595 ff.). Die strittige vorzeitige Aufhebung der stationären Massnahme nach Art. 59 StGB jedoch betrifft ihren (Weiter-)Bestand (vgl. Urteil 6B_296/2021 vom 23. Juni 2021 E. 1.2.1). Dabei handelt es sich nicht um eine Vorkehr des Vollzugsalltags, sondern um eine Angelegenheit mit erheblicher Tragweite für die Rechtsstellung der betroffenen Person BGE 147 IV 433 S. 437 und/oder für das öffentliche Sicherheitsinteresse (Urteil 6B_486/2021 vom 21. Juli 2021 E. 1.4; vgl. auch unten E. 2.4). Die Vorgaben für eine einzelrichterliche Zuständigkeit verbieten es somit, den Begriff "[Streitigkeiten betreffend den] Justizvollzug" (§ 38b Abs. 1 lit. d Ziff. 2 VRG) mit dem Begriff des Vollzugs gleichzusetzen, wie er etwa benutzt wird, um den "Vollzugsentscheid" (etwa über die Aufhebung einer Massnahme) vom strafrechtlichen Folgeentscheid zu unterscheiden (vgl. BGE 145 IV 167 E. 1.5 S. 173 unten). Freilich qualifiziert die Rechtsprechung die Aufhebung einer Massnahme mitunter als "typische Vollzugsentscheidung" ( BGE 141 IV 49 E. 2.4). Damit betont sie aber (im Kontext mit dem Rechtsweg) bloss den Umstand, dass die Aufhebungsverfügung das Sachurteil, mit welchem die Massnahme angeordnet wurde, nicht berührt (vgl. auch Urteil 6B_616/2018 vom 12. Juli 2018 E. 3.2 mit Hinweisen). Die hier interessierende einzelrichterliche Zuständigkeit ist nach einem anderen Vollzugsbegriff einzugrenzen. Es fehlt somit an einer gesetzlichen Grundlage, um die Aufhebung der stationären therapeutischen Massnahme einzelrichterlich zu beurteilen. Die über den Anwendungsbereich von § 38b Abs. 1 lit. d Ziff. 2 VRG hinausreichende Feststellung der Zuständigkeit im angefochtenen Urteil verletzt die Garantie des verfassungsmässigen Richters ( Art. 30 Abs. 1 BV ; vgl. BGE 140 II 141 E. 1).</w:t>
      </w:r>
    </w:p>
    <w:p>
      <w:r>
        <w:rPr>
          <w:b/>
        </w:rPr>
        <w:t>E. 2.4</w:t>
      </w:r>
    </w:p>
    <w:p>
      <w:r>
        <w:t>Zudem ist die vorinstanzliche Handhabung von § 38b Abs. 1 lit. d Ziff. 2 VRG nicht mit dem Strafprozessrecht des Bundes vereinbar: Art. 19 Abs. 2 lit. b StPO schliesst "für die Beurteilung von Verbrechen und Vergehen" erstinstanzliche Einzelgerichte u.a. dann aus, wenn die Staatsanwaltschaft dafür "eine Freiheitsstrafe von mehr als zwei Jahren, eine Verwahrung nach Artikel 64 StGB, eine Behandlung nach Artikel 59 Absatz 3 StGB (...) beantragt" (vgl. auch das Zürcher Gesetz vom 10. Mai 2010 über die Gerichts- und Behördenorganisation im Zivil- und Strafprozess [GOG; LS 211.1] in § 27 Abs. 1 lit. b Ziff. 2 und 3; vgl. Urteil 6B_559/2016 vom 7. Juni 2016 E. 1.3). Das Bundesgericht bezieht die Verwahrung im selbständigen nachträglichen Verfahren ( Art. 62c Abs. 4 oder Art. 65 Abs. 2 StGB ) in die kollegialgerichtliche Zuständigkeit ein. Die (zunächst für das erstinstanzliche gerichtliche Verfahren geltende) Regel gilt kraft Art. 379 StPO auch im Rechtsmittelverfahren ( BGE 145 IV 167 E. 2.3). Ebensowenig darf nach Art. 19 Abs. 2 lit. b StPO BGE 147 IV 433 S. 438 eine (im Sinn von Art. 59 Abs. 3 StGB in einer geschlossenen Einrichtung durchzuführende) stationäre therapeutische Massnahme durch ein Einzelgericht angeordnet werden. Das gilt wiederum auch für deren nachträgliche Anordnung. Zuständig ist das (Kollegial-) Gericht, das ursprünglich die Strafe ausgesprochen oder die Verwahrung angeordnet hat (Art. 65 Abs. 1 zweiter Satz StGB). Verfügungen der Behörde, die für die Aufhebung einer Massnahme ( Art. 62c StGB ) zuständig ist, sind im Kanton Zürich beim Verwaltungsgericht anfechtbar (Urteil 6B_1166/2020 vom 5. November 2020 E. 3.3; über die unterschiedlichen Zuständigkeits- und Rechtswegmodelle: BGE 145 IV 167 E. 1.3 ff.). Der für die Anordnung einer Behandlung nach Art. 59 Abs. 3 StGB geltende Ausschluss eines Einzelgerichts ist auch im Fall der verwaltungsgerichtlichen Kontrolle eines vollzugsbehördlichen Aufhebungsentscheids beachtlich. In Kantonen, in denen Verwaltungs- resp. Verwaltungsjustizbehörden zuständig sind, muss der Rechtsschutz grundsätzlich gleichwertig sein wie in Kantonen, die ein Vollzugsgericht kennen, d.h. eines, das nicht erst über die Rechtsfolgen (wie den Vollzug der Reststrafe, eine andere Massnahme oder die Verwahrung; BGE 141 IV 49 E. 2.5 und 2.6) entscheidet, sondern schon über die vorangehende Aufhebung einer bestehenden Massnahme (vgl. BGE 145 IV 167 E. 1.4 ff.; HEER, a.a.O., S. 594 f.). Eine weitgehende Annäherung des Rechtsschutzstandards ist auch deswegen bedeutsam, weil bei - wie hier - geteilter Zuständigkeit die Aufhebung erst in der zweiten Instanz gerichtlich überprüft wird. In Fällen einer vorzeitigen Aufhebung der stationären Massnahme wegen Aussichtslosigkeit - d.h. wenn die Behörde die Behandlung für definitiv undurchführbar hält ( BGE 141 IV 49 E. 2.3) - besteht aus Sicht des Betroffenen oder der Staatsanwaltschaft (vgl. Urteil 6B_486/2021 vom 21. Juli 2021 E. 1.4) regelmässig ein Rechtsschutzbedürfnis, das ähnlich intensiv ist wie bei der Anordnung; sei es mit Blick auf die Vollziehbarkeit einer aufgeschobenen Freiheitsstrafe (resp. auf allenfalls folgende nachträgliche Verfahren) oder mit Blick auf die Durchsetzung des öffentlichen Interesses an der Deliktsprävention.</w:t>
      </w:r>
    </w:p>
    <w:p>
      <w:r>
        <w:rPr>
          <w:b/>
        </w:rPr>
        <w:t>E. 2.5</w:t>
      </w:r>
    </w:p>
    <w:p>
      <w:r>
        <w:t>Nach dem Gesagten muss die vorliegende Streitsache in kantonaler Beschwerdeinstanz kollegialgerichtlich beurteilt werden. Das angefochtene Urteil verstösst gegen Bundesrecht und ist aufzuheben. Die Sache ist an die Vorinstanz zurückzuweisen, damit sie die Beschwerde gegen die Verfügung der kantonalen Direktion der BGE 147 IV 433 S. 439 Justiz und des Innern vom 6. November 2020 bundesrechtskonform in ordentlicher Besetzung (§ 38 VRG) behandelt.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