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182</w:t>
      </w:r>
    </w:p>
    <w:p>
      <w:r>
        <w:t>Bundesgericht (BGE), 2004-06-18, FR</w:t>
      </w:r>
    </w:p>
    <w:p>
      <w:r>
        <w:rPr>
          <w:b/>
        </w:rPr>
        <w:t xml:space="preserve">Quelle: </w:t>
      </w:r>
      <w:r>
        <w:t>https://mcp.opencaselaw.ch/entscheid/bge_BGE_147_IV_182</w:t>
      </w:r>
    </w:p>
    <w:p>
      <w:r>
        <w:t>FR: ATF 147 IV 182</w:t>
      </w:r>
    </w:p>
    <w:p>
      <w:r>
        <w:t>IT: DTF 147 IV 182</w:t>
      </w:r>
    </w:p>
    <w:p>
      <w:pPr>
        <w:pStyle w:val="Heading2"/>
      </w:pPr>
      <w:r>
        <w:t>Regeste</w:t>
      </w:r>
    </w:p>
    <w:p>
      <w:r>
        <w:t>Regeste Art. 27 VRK, Art. 190, Art. 5 Abs. 4 BV; Abkommen über die Assoziierung der Schweiz bei der Umsetzung, Anwendung und Entwicklung des Schengen-Besitzstands (SAA); Art. 3-8 PublG; Datum des Inkrafttretens des Übereinkommens über die Auslieferung zwischen den Mitgliedstaaten der Europäischen Union (nachfolgend: EU-AUe). Die für die Schweiz verbindlichen Normen des internationalen Rechts gehen im Konfliktfall grundsätzlich den widersprechenden innerstaatlichen Normen vor (Bestätigung der Rechtsprechung; E. 2.1). Die Schweiz ist durch die im Rahmen des SAA eingegangenen Verpflichtungen gebunden. Dazu gehört, dass das EU-AUe an dem Datum in Kraft tritt, das der Rat nach Art. 15 SAA festlegt (vgl. Anhang B des SAA; E. 2.2). Diese Verpflichtungen gehen vorliegend im Sinne einer Sonderregel den innerstaatlichen - im konkreten Fall nicht eingehaltenen - Publikationsvorgaben vor. Daraus folgt jedoch nicht, dass die Behörden zukünftig davon befreit wären, die völkerrechtlichen Verträge und Beschlüsse des internationalen Rechts gemäss Art. 5-8 PublG zu veröffentlichen (E. 2.3).</w:t>
      </w:r>
    </w:p>
    <w:p>
      <w:r>
        <w:t>Regeste Art. 27 CV, art. 190, 5 al. 4 Cst.; Accord d'association de la Confédération suisse à la mise en oeuvre, à l'application et au développement de l'acquis de Schengen (AAS; ci-après: Accord Schengen); art. 3-8 LPubl; date d'entrée en vigueur de la Convention relative à l'extradition entre les Etats membres de l'Union européenne (ci-après: CE-UE). En cas de conflit, les normes de droit international qui lient la Suisse priment en principe celles du droit interne qui lui sont contraires (rappel de la jurisprudence; consid. 2.1). La Suisse est liée par les engagements pris dans le cadre de l'Accord Schengen, dont l'entrée en vigueur de la CE-UE à la date prévue par le Conseil au sens de l'art. 15 de l'Accord Schengen (cf. annexe B de l'Accord Schengen; consid. 2.2). Ces engagements priment en l'occurrence, à titre de règle spéciale, les obligations internes - non respectées dans le cas d'espèce - en matière de publication. Il n'en résulte cependant pas que les autorités seraient dispensées à l'avenir de publier de manière conforme aux art. 5-8 LPubl les traités et décisions de droit international (consid. 2.3).</w:t>
      </w:r>
    </w:p>
    <w:p>
      <w:r>
        <w:t>Regesto Art. 27 CV, art. 190, 5 cpv. 4 Cost.; Accordo di associazione della Svizzera all'attuazione, all'applicazione e allo sviluppo dell'acquis di Schengen (AAS; di seguito: Accordo di Schengen); art. 3-8 LPubb; data di entrata in vigore della Convenzione relativa all'estradizione tra gli Stati membri dell'Unione europea (di seguito: CEstr-UE). Nel caso di un conflitto, le norme del diritto internazionale che vincolano la Svizzera prevalgono di principio su quelle del diritto interno ad esse contrarie (richiamo della giurisprudenza; consid. 2.1). La Svizzera è vincolata dagli impegni presi nell'ambito dell'Accordo di Schengen, tra cui l'entrata in vigore della CEstr-UE alla data prevista dal Consiglio ai sensi dell'art. 15 dell'Accordo di Schengen (cfr. allegato B dell'Accordo di Schengen; consid. 2.2). Questi impegni prevalgono nella fattispecie, quale regola speciale, sugli obblighi interni - non rispettati nel caso concreto - in materia di pubblicazione. Da ciò non risulta tuttavia che le autorità sono dispensate in futuro dal pubblicare i trattati e le risoluzioni internazionali in modo conforme agli art. 5-8 LPubb (consid. 2.3).</w:t>
      </w:r>
    </w:p>
    <w:p>
      <w:pPr>
        <w:pStyle w:val="Heading2"/>
      </w:pPr>
      <w:r>
        <w:t>Erwägungen</w:t>
      </w:r>
    </w:p>
    <w:p>
      <w:r>
        <w:rPr>
          <w:b/>
        </w:rPr>
        <w:t>E. 2</w:t>
      </w:r>
    </w:p>
    <w:p>
      <w:r>
        <w:t>Invoquant notamment les art. 5, 8 Cst. , 26 du Pacte ONU II (RS 0.103.2) et 14 CEDH, le recourant fait valoir des violations du principe de prévisibilité du droit et de l'interdiction de la rétroactivité. Il soutient en substance que la CE-UE ne serait pas entrée en vigueur en Suisse le 5 novembre 2019. En effet, faute de publication à cette date au Recueil officiel (RO), cette convention ne serait entrée en vigueur en Suisse qu'ultérieurement à sa publication au RO en mars 2020 (RO 2020 1121).</w:t>
      </w:r>
    </w:p>
    <w:p>
      <w:r>
        <w:rPr>
          <w:b/>
        </w:rPr>
        <w:t>E. 2.1</w:t>
      </w:r>
    </w:p>
    <w:p>
      <w:r>
        <w:t>Aux termes de l' art. 190 Cst. , le Tribunal fédéral et les autres autorités suisses sont tenus d'appliquer les lois fédérales et le droit international. Ni l' art. 190 Cst. , ni l' art. 5 al. 4 Cst. n'instaurent de rang hiérarchique entre les normes de droit international et celles de droit interne. Selon la jurisprudence, en cas de conflit, les normes du droit international qui lient la Suisse priment en principe celles du droit interne qui lui sont contraires ( ATF 146 V 87 consid. 8.2.2 p. 91 s.; ATF 144 II 293 consid. 6.3 p. 311; ATF 142 II 35 consid. 3.2 p. 39; ATF 139 I 16 consid. 5.1 p. 28 s.; ATF 138 II 524 consid. 5.1 p. 532 s.; ATF 125 II 417 consid. 4d p. 425). A teneur de l' art. 27, 1 re phrase, de la Convention de Vienne du 23 mai 1969 sur le droit des traités (CV; RS 0.111), une partie ne peut invoquer les dispositions de son droit interne comme justifiant la non-exécution d'un traité (voir également ROBERT ZIMMERMANN, La coopération judiciaire internationale en matière pénale, 5 e éd. 2019, n. 227 p. 240 s. qui relève notamment que la primauté des traités est admise sans restriction dans le domaine de la coopération internationale). BGE 147 IV 182 S. 185 On rappellera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146 V 87 consid. 8.2.2 p. 92; ATF 99 Ib 39 consid. 3 p. 43 [jurisprudence Schubert]).</w:t>
      </w:r>
    </w:p>
    <w:p>
      <w:r>
        <w:rPr>
          <w:b/>
        </w:rPr>
        <w:t>E. 2.2</w:t>
      </w:r>
    </w:p>
    <w:p>
      <w:r>
        <w:t>Le recourant ne remet pas en cause le fait que la Suisse est liée par les engagements pris dans le cadre de l'Accord du 26 octobre 2004 entre la Confédération suisse, l'Union européenne et la Communauté européenne sur l'association de la Confédération suisse à la mise en oeuvre, à l'application et au développement de l'acquis de Schengen (AAS; RS 0.362.31; ci-après: Accord Schengen). Selon le préambule de l'annexe B de cet accord, la Suisse appliquera le contenu notamment de la CE-UE à partir de la date fixée par le Conseil conformément à l'art. 15 de l'Accord Schengen, sous réserve du cas où, à cette date, la CE-UE n'est pas entrée en vigueur pour l'ensemble des Etats membres de l'Union européenne au moment de l'adoption de l'acte concerné. Le recourant ne conteste pas non plus la compétence donnée au Conseil au sens de l'art. 15 par. 1 de l'Accord Schengen pour décider de cette date. Dès lors que ce Conseil a, par décision du 1 er octobre 2019, fixé au 5 novembre 2019 la date d'entrée en vigueur de la CE-UE (JO 2019 C 329/2), la Suisse était liée dès cette date (STÉPHANE ZENGER, Les conséquences en droit suisse de l'association à Schengen et Dublin, in Aspects pénaux des Accords bilatéraux Suisse/Union européenne, Laurent Moreillon [éd.], 2008, ad V/A p. 301 et V/A 2 p. 302 s.);cela vaut d'autant plus que, pour les actes prévus à l'annexe B de l'Accord Schengen au moment de sa signature - parmi lesquels figurait la CE-UE (RO 2008 481) -, aucune procédure de reprise n'était encore nécessaire (cf. le Message du Conseil fédéral du 1 er octobre 2004 relatif à l'approbation des accords bilatéraux entre la Suisse et l'Union européenne, y compris les actes législatifs relatifs à la transposition des accords ["accords bilatéraux II"] [FF 2004 5593 5778 s.]). Sauf à violer les engagements conventionnels pris, le droit national en matière de publication s'appliquant certes aussi aux traités internationaux (cf. art. 3 de la loi fédérale du 18 juin 2004 sur les recueils du droit fédéral et la Feuille fédérale [LPubl; RS 170.512]) ne sauraitainsi dans le cas d'espèce constituer un empêchement à BGE 147 IV 182 S. 186 l'entrée en vigueur à la date fixée - et publiée - par la seule autorité compétente, à savoir le Conseil au sens de l'art. 15 de l'Accord Schengen. A partir du 5 novembre 2019, le Portugal - Etat membre de l'Union européenne (cf. www.europa.eu/european-union/about-eu/countries/ member-countries/portugal_fr , consulté le 21 juillet 2020, 13h51) et signataire de la CE-UE - pouvait se prévaloir auprès de la Suisse de l'application en particulier de l'art. 8 CE-UE - à titre d'acquis de Schengen que la Suisse s'était engagée à reprendre lors de la signature de l'Accord Schengen (cf. annexe B de l'Accord Schengen; ZENGER, op. cit., ad V/A et note de bas de page 131 p. 301) - pour obtenir l'extradition du recourant. Il ne pouvait dès lors être opposé à une telle requête le défaut de publication en application du droit interne par les autorités suisses pour obtenir l'application des art. 10 de la Convention européenne d'extradition du 13 décembre 1957 (RS 0.353.1) et/ou 5 al. 1 let. c EIMP (RS 351.1). Au demeurant, dans la mesure où les Accords de Schengen ont été ratifiés par l'Assemblée fédérale le 17 décembre 2004, soit postérieurement à l'adoption de la LPubl, le 18 juin 2004, la question de la pratique "Schubert" ne se pose pas.</w:t>
      </w:r>
    </w:p>
    <w:p>
      <w:r>
        <w:rPr>
          <w:b/>
        </w:rPr>
        <w:t>E. 2.3</w:t>
      </w:r>
    </w:p>
    <w:p>
      <w:r>
        <w:t>Il résulte de la jurisprudence précitée et des considérations précédentes que les engagements pris dans le cadre de l'Accord Schengen en lien avec la mise en vigueur de la CE-UE à la date fixée par le Conseil au sens de l'art. 15 de l'Accord Schengen priment en l'occurrence, à titre de règle spéciale, les obligations en matière de publication - non respectées en temps utile dans le cas d'espèce - découlant du droit interne. On ne saurait cependant déduire de la présente cause que les autorités seraient dispensées à l'avenir de publier de manière conforme aux art. 5-8 LPubl les traités et décisions de droit international, y compris dans le cadre des reprises de l'acquis Schengen. Partant, la Cour des plaintes pouvait, sans violer le droit conventionnel et fédéral, confirmer la décision d'extradition du 15 avril 2020 de l'OFJ.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