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441</w:t>
      </w:r>
    </w:p>
    <w:p>
      <w:r>
        <w:t>Bundesgericht (BGE), 1983-06-14, DE</w:t>
      </w:r>
    </w:p>
    <w:p>
      <w:r>
        <w:rPr>
          <w:b/>
        </w:rPr>
        <w:t xml:space="preserve">Quelle: </w:t>
      </w:r>
      <w:r>
        <w:t>https://mcp.opencaselaw.ch/entscheid/bge_BGE_147_II_441</w:t>
      </w:r>
    </w:p>
    <w:p>
      <w:r>
        <w:t>FR: ATF 147 II 441</w:t>
      </w:r>
    </w:p>
    <w:p>
      <w:r>
        <w:t>IT: DTF 147 II 441</w:t>
      </w:r>
    </w:p>
    <w:p>
      <w:pPr>
        <w:pStyle w:val="Heading2"/>
      </w:pPr>
      <w:r>
        <w:t>Regeste</w:t>
      </w:r>
    </w:p>
    <w:p>
      <w:r>
        <w:t>Regeste Rechtliche Tragweite von Einreihungsavisen des Weltzollrats (Präzisierung der Rechtsprechung); Art. 7 Abs. 1 Bst. a-c und Art. 8 Abs. 2 und 3 des Internationalen Übereinkommens vom 14. Juni 1983 über das Harmonisierte System zur Bezeichnung und Codierung der Waren. Die bisherige schweizerische Praxis ging - anders als der EuGH (E. 4.4.3 und 4.4.4) - davon aus, dass vom Ausschuss des Weltzollrats ausgearbeitete Einreihungsavisen verbindliches Völkerrecht darstellten (E. 4.4.1 und 4.4.2). Diese Praxis ist zu präzisieren: Rechtssetzende Beschlüsse von Organen internationaler Organisationen sind für die Vertragsstaaten rechtlich in der Regel dann unmittelbar verbindlich, wenn die Vertragsstaaten den beschliessenden Organen im Gründungsstatut die Kompetenz zum Erlass entsprechender Bestimmungen eingeräumt haben; dies ist bei den Einreihungsavisen des Weltzollrats nicht der Fall (E. 4.5.1). Gleichwohl ist den Einreihungsavisen im Interesse einer homogenen Tarifierung bei der nationalen Zolltarifeinreihung grundsätzlich Folge zu leisten, es sei denn, zwingende Gründe sprächen dagegen (E. 4.5.2 und 4.5.3). Zwingende Gründe im konkreten Fall bejaht (E. 4.6).</w:t>
      </w:r>
    </w:p>
    <w:p>
      <w:r>
        <w:t>Regeste Portée contraignante des conseils de classement de l'Organisation mondiale des douanes (précision de la jurisprudence); art. 7 par. 1 let. a-c et art. 8 par. 2 et 3 de la Convention internationale du 14 juin 1983 sur le Système harmonisé de désignation et de codification des marchandises. La jurisprudence suisse en la matière - contrairement à celle de la CJUE (consid. 4.4.3 et 4.4.4) - partait du principe que les conseils de classement établis par le comité de l'Organisation mondiale des douanes avaient un effet contraignant en droit international public (consid. 4.4.1 et 4.4.2). Cette jurisprudence doit être précisée: dans la règle, les actes normatifs des organes des organisations internationales sont directement contraignants pour les Etats contractants lorsque, dans les statuts fondateurs, les Etats contractants confèrent aux organes décisionnels la compétence d'édicter de telles normes; tel n'est pas le cas des conseils de classement de l'Organisation mondiale des douanes (consid. 4.5.1). En principe, néanmoins, il convient, lors de la classification tarifaire douanière nationale, de suivre les conseils de classement dans l'intérêt d'une tarification homogène, sauf lorsque des motifs impérieux s'y opposent (consid. 4.5.2 et 4.5.3). En l'espèce, confirmation de l'existence de motifs impérieux (consid. 4.6).</w:t>
      </w:r>
    </w:p>
    <w:p>
      <w:r>
        <w:t>Regesto Portata giuridica dei pareri di classificazione dell'Organizzazione mondiale delle dogane (precisazione della giurisprudenza); art. 7 par. 1 lett. a-c e art. 8 par. 2 e 3 della Convenzione internazionale del 14 giugno 1983 sul Sistema armonizzato di designazione e di codificazione delle merci. La giurisprudenza svizzera finora in vigore partiva dal presupposto - contrariamente a quella della CGUE (consid. 4.4.3 e 4.4.4) - che i pareri di classificazione elaborati dal comitato dell'Organizzazione mondiale delle dogane costituivano diritto internazionale pubblico vincolante (consid. 4.4.1 e 4.4.2). Questa prassi dev'essere precisata: in linea di principio, gli atti normativi degli organi di organizzazioni internazionali sono direttamente vincolanti per gli Stati contraenti se, nello statuto fondatore, questi ultimi hanno conferito agli organi decisionali la competenza di emanare simili atti; ciò non è il caso dei pareri di classificazione dell'Organizzazione mondiale delle dogane (consid. 4.5.1). Tuttavia, nell'interesse di una classificazione tariffaria omogenea, appare opportuno attenersi, nella classificazione tariffaria doganale nazionale, ai pareri di classificazione, salvo se motivi imperativi vi si oppongono (consid. 4.5.2 e 4.5.3), ciò che è il caso nella fattispecie (consid. 4.6).</w:t>
      </w:r>
    </w:p>
    <w:p>
      <w:pPr>
        <w:pStyle w:val="Heading2"/>
      </w:pPr>
      <w:r>
        <w:t>Erwägungen</w:t>
      </w:r>
    </w:p>
    <w:p>
      <w:r>
        <w:rPr>
          <w:b/>
        </w:rPr>
        <w:t>E. 4</w:t>
      </w:r>
    </w:p>
    <w:p>
      <w:r>
        <w:t>Materiell unbestritten ist vorliegend, dass der angefochtene Entscheid zu bestätigen wäre, wenn die streitgegenständlichen Produkte "B.", "Perillaöl Kapseln D." und "Schwarzkümmelöl E." - wie von der Vorinstanz angenommen - in die Zolltarifnummer 1515.90 einzureihen wären. Um von schweizerischen Ursprungserzeugnissen ausgehen zu können, wäre diesfalls nämlich erforderlich, dass die Produkte vollständig aus Materialien hergestellt worden wären, die in der Schweiz gewonnen bzw. hergestellt worden sind (vgl. Art. 11 des Abkommens vom 22. Juli 1972 zwischen der Schweizerischen Eidgenossenschaft und der Europäischen Wirtschaftsgemeinschaft [SR 0.632.401; nachfolgend: FHA CH/EWG] i.V.m. BGE 147 II 441 S. 444 Art. 1 Protokoll Nr. 3 zum Abkommen zwischen der Europäischen Wirtschaftsgemeinschaft und der Schweizerischen Eidgenossenschaft über die Bestimmung des Begriffs "Erzeugnisse mit Ursprung in" oder "Ursprungserzeugnisse" und über die Methoden der Zusammenarbeit der Verwaltungen vom 3. Dezember 2015 [SR 0.632.401.3; nachfolgend: Protokoll Nr. 3 2015], wo bezüglich der Ursprungsregelungen auf die Anlagen I und II des Regionalen Übereinkommens vom 15. Juni 2011 über Pan-Europa-Mittelmeer-Präferenzursprungsregeln [SR 0.946.31; im Folgenden: PEM-Übereinkommen] verwiesen wird; relevant ist hier namentlich Anlage I Anhang II [zu den Positionen des Harmonisierten Systems 1507-1515]). Dies ist bei den erwähnten Produkten nach den Feststellungen der Vorinstanz nicht der Fall. Ebenso unbestritten ist, dass diese Produkte die deklarierten Ursprungseigenschaften erfüllen würden, wenn sie der Zolltarifnummer 2106.90 zuzuweisen wären, zumal bei Waren dieser Tarifnummer die Verwendung andernorts gewonnener bzw. hergestellter Vormaterialien zulässig ist, solange deren Wert 30 % des ab-Werk-Preises nicht überschreitet (vgl. Anlage I Anhang II des PEM-Übereinkommens [zur Position des Harmonisierten Systems 2016]); diese Voraussetzung wäre nach den für das Bundesgericht verbindlichen ( Art. 105 Abs. 1 BGG ) Feststellungen der Vorinstanz vorliegend eingehalten. Zu klären gilt es daher nachfolgend in erster Linie, ob die Vorinstanz zu Recht davon ausging, die Zolltarifnummer 1515.90 sei einschlägig.</w:t>
      </w:r>
    </w:p>
    <w:p>
      <w:r>
        <w:rPr>
          <w:b/>
        </w:rPr>
        <w:t>E. 4.1</w:t>
      </w:r>
    </w:p>
    <w:p>
      <w:r>
        <w:t>Die Vorinstanz begründete ihren Entscheid damit, der Weltzollrat habe im Bestreben um eine einheitliche Auslegung der völkerrechtlich festgelegten Nomenklatur (Art. 7 Abs. 1 Bst. b und c und Art. 8 Abs. 2 des Internationalen Übereinkommens vom 14. Juni 1983 über das Harmonisierte System zur Bezeichnung und Codierung der Waren [SR 0.632.11; nachfolgend: HS-Übereinkommen]) drei Einreihungsavisen veröffentlicht, die Öl in Kapseln als Nahrungsergänzungsmittel zum Gegenstand gehabt hätten (namentlich die Einreihungsavisen Nr. 3101.1055.2013.2 [Lachsöl], Nr. 3101. 2806.2013.2 [Krillöl] und Nr. 615.38.1995.1 [Nachtkerzenöl mit Zusatz von Vitamin E und Milchfett]). Aus diesen als materielles Staatsvertragsrecht qualifizierenden Einreihungsavisen ergebe sich übereinstimmend, dass Öl (chemisch nicht modifiziert), eventuell BGE 147 II 441 S. 445 mit Zusatz von (wenig) Vitamin E, das in Kapseln aus Gelatine oder aus Stoffen pflanzlichen Ursprungs (Stärke, Zellulose usw.) gefüllt und für den Einzelverkauf bestimmt sei, unter das Kapitel 15 des Harmonisierten Systems eingereiht werden müsse. Entscheidend sei demnach der Inhalt der Kapsel, während die Kapselhülle - unabhängig davon, ob sie aus Gelatine, Stärke oder Zellulose bestehe - bloss als Verpackung anzusehen und deshalb bei der Prüfung der Voraussetzungen für die Ursprungseigenschaft nicht zu berücksichtigen sei (vgl. auch Ziff. 5 lit. b der General Rules for the Interpretation of the Harmonized System [abrufbar unter www.wcoomd.org /-/media/wco/public/global/pdf/topics/nomenclature/instruments-and-tools/hs-interpretation-general-rules/0001_2012e_gir.pdf?la =en [zuletzt abgerufen am 8.2.2021; nachfolgend zitiert als "Allgemeine Vorschriften"]; Art. 3 Abs.1 Bst. a Ziff. 2 des HS-Übereinkommens). Den Akten sei zu entnehmen, dass die in den strittigen Kapseln enthaltene Stärke ("F.") nicht etwa Teil des Kapselinhalts, sondern lediglich Teil der Kapselhülle sei; die Produktkomponente Stärke sei somit für die Tarifeinreihung nicht zu beachten. Das in den Produkten "B." und "Perillaöl Kapseln D." enthaltene Vitamin E sei in den Produktbeschreibungen mit keinem Wort erwähnt; es werde den genannten Produkten lediglich als Antioxidationsmittel beigefügt, womit es als blosser Zusatz im Sinne der Einreihungsavisen anzusehen sei. Unter Berücksichtigung des damit massgebenden Inhalts seien die strittigen Kapseln unter die Zolltarifnummer 1515.90 einzureihen; ihnen komme keine Ursprungseigenschaft zu (vgl. Urteil des BVGer A-5372/2018 vom 17. Juli 2019 E. 3.2 [und die dortigen Verweise auf E. 2.2, E. 2.3.3, E. 2.3.4 und E. 2.3.5.1]).</w:t>
      </w:r>
    </w:p>
    <w:p>
      <w:r>
        <w:rPr>
          <w:b/>
        </w:rPr>
        <w:t>E. 4.2</w:t>
      </w:r>
    </w:p>
    <w:p>
      <w:r>
        <w:t>Zu prüfen ist zunächst die Rüge der Beschwerdeführerin, die Vorinstanz habe einen Normenkonflikt zwischen schweizerischem Landesrecht (namentlich dem schweizerischen Gebrauchstarif) und völkerrechtlichen Regelungen (namentlich solchen des FHA CH/EWG) zu Unrecht dahingehend aufgelöst, dass sie schweizerischem Landesrecht den Vorrang eingeräumt habe.</w:t>
      </w:r>
    </w:p>
    <w:p>
      <w:r>
        <w:rPr>
          <w:b/>
        </w:rPr>
        <w:t>E. 4.2.1</w:t>
      </w:r>
    </w:p>
    <w:p>
      <w:r>
        <w:t>Der auf dem Zolltarifgesetz vom 9. Oktober 1986 (ZTG; SR 632.10) beruhende schweizerische Gebrauchstarif basiert - zumindest in den hier massgeblichen ersten sechs Stellen - auf den völkerrechtlichen Vorgaben des HS-Übereinkommens (vgl. Botschaft vom 22. Oktober 1985 betreffend das Internationale Übereinkommen über das Harmonisierte System zur Bezeichnung und Codierung der Waren [HS] sowie über die Anpassung des schweizerischen BGE 147 II 441 S. 446 Zolltarifs, BBl 1985 III 357 ff., 373; ARPAGAUS REMO, Zollrecht, 2. Aufl. 2007, Rz. 578; SCHNELL LUCHSINGER/BEUSCH, Wie harmonisiert ist das Harmonisierte System wirklich?, Zoll Revue 2017/1 S. 12 ff., 17). Dasselbe gilt allerdings auch für die in den Ländern der Europäischen Union anwendbare Kombinierte Nomenklatur (vgl. Anhang I der Verordnung [EWG] Nr. 2658/87 des Rates vom 23. Juli 1987 über die zolltarifliche und statistische Nomenklatur sowie den Gemeinsamen Zolltarif [ABl. L 256 vom 7. September 1987 S. 1] in der Fassung der Verordnung [EG] Nr. 2388/2000 der Kommission vom 13. Oktober 2000 [ABl. L 264 vom 18. Oktober 2000 S. 1; nachfolgend: VO [EWG] Nr. 2658/87]). Beide Systeme knüpfen mithin für die Zolltarifierung an das Regelwerk des Weltzollrats an (vgl. insbesondere Art. 3 Abs. 1 Bst. a des HS-Abkommens, das nicht nur für die Schweiz, sondern auch für die Europäische Union bindend ist [vgl. Beschluss 87/369/EWG des Rates vom 7. April 1987 über den Abschluss des Internationalen Übereinkommens über das Harmonisierte System [...]; ABl. L 198 vom 20. Juli 1987 S. 1]; vgl. ferner die einleitenden Erwägungen der VO [EWG] Nr. 2658/87, wonach "die Gemeinschaft Unterzeichner des Internationalen Übereinkommens über das Harmonisierte System zur Bezeichnung und Codierung der Ware [sei], [...] weshalb die Kombinierte Nomenklatur auf der Grundlage des Harmonisierten Systems beruhen müsse").</w:t>
      </w:r>
    </w:p>
    <w:p>
      <w:r>
        <w:rPr>
          <w:b/>
        </w:rPr>
        <w:t>E. 4.2.2</w:t>
      </w:r>
    </w:p>
    <w:p>
      <w:r>
        <w:t>Naheliegenderweise (vgl. E. 4.2.1 hiervor) stellt auch das zwischen der Schweiz und der Europäischen Gemeinschaft abgeschlosene FHA CH/EWG in Art. 2 (und in den Anhängen I, II und IV) zur Umschreibung seines sachlichen Anwendungsbereichs auf die Nomenklatur des Harmonisierten Systems ab. Was die anwendbaren Ursprungsregeln betrifft, verweist das FHA CH/EWG sodann auf das PEM-Übereinkommen (vgl. E. 4 hiervor), das in Anlage I Anhang II seinerseits auf die Nomenklatur des Harmonisierten Systems zurückgreift, um die Voraussetzungen für die Ursprungseigenschaften der verschiedenen Produkte zu definieren. Weder das FHA CH/EWG noch das PEM-Übereinkommen enthalten eigene Vorschriften über das Tarifierungssystem; beide verweisen insoweit auf das Harmonisierte System, das für die Schweiz und die Europäische Union gleichermassen Geltung beansprucht (vgl. E. 4.2.1 hiervor). Insofern fällt der von der Beschwerdeführerin geltend gemachte Normenkonflikt zwischen schweizerischem Gebrauchstarif und Freihandelsabkommen zum vornherein ausser Betracht. BGE 147 II 441 S. 447</w:t>
      </w:r>
    </w:p>
    <w:p>
      <w:r>
        <w:rPr>
          <w:b/>
        </w:rPr>
        <w:t>E. 4.3</w:t>
      </w:r>
    </w:p>
    <w:p>
      <w:r>
        <w:t>Das von der Beschwerdeführerin aufgeworfene Problem ist anderswo zu verorten: Der Grund für ihre Beschwerde ist, dass die Vorinstanz die streitbetroffenen Produkte - wie zuvor schon die EZV - der Zolltarifnummer 1515.90 zuordnete, wohingegen der Gerichtshof der Europäischen Union (EuGH) für ähnliche bzw. identische Produkte die Zolltarifnummer 2106.90 (der Europäischen Nomenklatur) für anwendbar erklärt (vgl. Urteil des EuGH vom 17. Dezember 2009 in den verbundenen Rechtssachen C-410/08 bis C-412/08 Swiss Caps , Slg. 2009 I-11991). Wie die Beschwerdeführerin zutreffend vorbringt, hat dies aufgrund der hohen Bedeutung der von den Zollbehörden des ausführenden Staates vorgenommenen Prüfung der Ursprungseigenschaft zur Folge, dass schweizerische Exporteure bei der Ausfuhr der streitgegenständlichen Produkte in den EU-Raum - anders als ihre Gewerbegenossen, welche dieselben Waren aus dem EU-Raum in die Schweiz einführen - regelmässig keine Präferenzbehandlung erfahren dürften: Das Vorliegen einer Ursprungserklärung bindet den einführenden Staat (vgl. Urteil 2C_426/2020 vom 23. Juli 2020 E. 3.2 mit Hinweisen). Soweit - wie vorliegend - festgestellt wird, dass die Ursprungserklärungen vom ermächtigten Ausführer zu Unrecht ausgestellt worden sind, hindert dies den einführenden Staat zwar nicht, unilateral Zollpräferenzen zu gewähren. Nachdem der einführende Staat ausdrücklich um eine Überprüfung der Ursprungseigenschaft ersucht hat, wird er diese Vorteile jedoch regelmässig nicht gewähren.</w:t>
      </w:r>
    </w:p>
    <w:p>
      <w:r>
        <w:rPr>
          <w:b/>
        </w:rPr>
        <w:t>E. 4.4</w:t>
      </w:r>
    </w:p>
    <w:p>
      <w:r>
        <w:t>Die unterschiedliche Tarifeinreihung der streitgegenständlichen Produkte durch die schweizerischen Behörden auf der einen und dem EuGH auf der anderen Seite liegt darin begründet, dass der EuGH und die schweizerische Praxis die Einreihungsavisen des Weltzollrats nicht in gleichem Masse für massgeblich erachten:</w:t>
      </w:r>
    </w:p>
    <w:p>
      <w:r>
        <w:rPr>
          <w:b/>
        </w:rPr>
        <w:t>E. 4.4.1</w:t>
      </w:r>
    </w:p>
    <w:p>
      <w:r>
        <w:t>Das Bundesverwaltungsgericht geht in ständiger Rechtsprechung davon aus, dass vom Ausschuss des Weltzollrats ausgearbeitete Einreihungsavise verbindliches Völkerrecht darstellen (vgl. als Ausgangspunkt Urteil des BVGer A-1692/2006 vom 25. April 2007, E. 2.1.3). Diese Praxis geht auf einen Entscheid der Eidg. Zollrekurskommission vom 27. Oktober 1994 zurück (in: VPB 1995 Nr. 34 S. 275; bestätigt in: VPB 2000 Nr. 10 S. 100), in welchem die Frage zu klären war, ob den von der EZV herausgegebenen Erläuterungen zum Zolltarif Rechtsverbindlichkeit zukomme. Die Eidg. Zollrekurskommission unterschied damals zwischen Erläuterungen, BGE 147 II 441 S. 448 welche auf Erläuterungen bzw. Einreihungsavise des Weltzollrats zurückzuführen seien ("Notes explicatives du Système harmonisé qui ont été reprises par les Notes explicatives du tarif des douanes"), und anderen, rein schweizerischen Erläuterungen ("Notes explicatives suisses"): Während rein schweizerische Erläuterungen als Dienstvorschriften (bzw. Verwaltungsverordnungen) die Eidg. Zollrekurskommission nicht zu binden vermöchten, seien Erläuterungen, die auf Einreihungsavisen des Weltzollrats basierten, als materielles Staatsvertragsrecht ( Art. 113 Abs. 3 aBV ) zu qualifizieren und damit rechtsverbindlich (Entscheid der Eidg. Zollrekurskommission vom 27. Oktober 1994 E. 2c). Diese Sichtweise begründete die Zollrekurskommission damit, dass Art. 3 Abs.1 Bst. a Ziff. 2 des HS-Übereinkommens die Vertragsstaaten dazu verpflichte, die Allgemeinen Vorschriften für die Auslegung des Harmonisierten Systems anzuwenden. Diese Allgemeinen Vorschriften befänden sich nicht im Übereinkommen selbst, sondern in den Erläuterungen, wie sie in Art. 7 Abs. 1 Bst. b HS-Übereinkommen vorgesehen seien; Erläuterungen würden - wie Einreihungsavisen und andere Empfehlungen - vom Ausschuss für das Harmonisierte System ausgearbeitet, der durch Art. 6 HS-Übereinkommen eingesetzt worden sei. Das HS-Übereinkommen sehe in Art. 8 ferner vor, dass vom Ausschuss ausgearbeitete Erläuterungen, Einreihungsavisen und sonstige Stellungnahmen über die Auslegung als vom Rat genehmigt gälten, wenn sie ihm nicht von einer der Vertragsparteien innert Frist zur Behandlung unterbreitet würden. Soweit die EZV Erläuterungen, Einreihungsavisen oder sonstige Stellungnahmen des Ausschusses tel quel in ihre eigenen Erläuterungen einfüge, seien diese vor diesem Hintergrund rechtsverbindlich und einer Überprüfung durch die Zollrekurskommission nicht zugänglich.</w:t>
      </w:r>
    </w:p>
    <w:p>
      <w:r>
        <w:rPr>
          <w:b/>
        </w:rPr>
        <w:t>E. 4.4.2</w:t>
      </w:r>
    </w:p>
    <w:p>
      <w:r>
        <w:t>Die bundesgerichtliche Rechtsprechung scheint die Sichtweise des Bundesverwaltungsgerichts (vgl. E. 4.4.1 hiervor) zu stützen: In BGE 119 Ib 103 kam das Bundesgericht zum Schluss, dass die im HS-Übereinkommen vorgesehenen Organe Einreihungsavisen erlassen könnten, welche die Tarifierung bestimmter Waren für die Mitgliedsstaaten verbindlich regelten ( BGE 119 Ib 103 , Regeste und E. 4b; berücksichtigt wurde in diesem Entscheid auch, dass die Oberzolldirektion die Einreihungsavisen des Weltzollrats mittels Zirkulars innerstaatlich umgesetzt hatte [BGE BGE 119 Ib 103 E. 5]). Dem Urteil 2C_159/2019 vom 23. Juli 2019 kann ebenfalls entnommen werden, dass das Bundesgericht bis anhin von einer BGE 147 II 441 S. 449 staatsvertraglichen Verpflichtung zur Beachtung der "Notes explicatives" des Ausschusses für das Harmonisierte System ausging (zit. Urteil 2C_159/2019 E. 3.4.3).</w:t>
      </w:r>
    </w:p>
    <w:p>
      <w:r>
        <w:rPr>
          <w:b/>
        </w:rPr>
        <w:t>E. 4.4.3</w:t>
      </w:r>
    </w:p>
    <w:p>
      <w:r>
        <w:t>Eine von der schweizerischen Sichtweise (vgl. E. 4.4.1 und 4.4.2 hiervor) abweichende Konzeption verfolgt der EuGH: Die Erläuterungen und Einreihungsavisen der Organe des Weltzollrats betrachtet er in ständiger Rechtsprechung nicht als rechtsverbindlich; stattdessen misst er ihnen für die Auslegung des Tarifs bloss den Charakter "wertvoller Erkenntnismittel" zu (vgl. statt vieler Urteile vom 19. Oktober 2017 C-556/16 Lutz , Randnr. 40; vom 15. November 2018 C-592/17 Baby Dan , Randnr. 55; sowie vom 15. Mai 2019 C-306/18 Korado , Randnr. 35). Diese Praxis geht zurück auf das Urteil vom 11. Juli 1980 C-798/79 Chem-Tec , Slg. 1980 S. 2639, in dem der EuGH festhielt, dass die Erläuterungen des Rates über die Zusammenarbeit auf dem Gebiete des Zollwesens (wie die Stellungnahmen des Ausschusses für das Schema des gemeinsamen Zolltarifs) zwar als "wichtiges Hilfsmittel" anzusehen seien, "um eine einheitliche Anwendung des gemeinsamen Zolltarifs durch die Zollbehörden der Mitgliedsstaaten zu gewährleisten", ihnen rechtlich jedoch keine Verbindlichkeit zukomme (Urteil Chem-Tec , Randnr. 11-12). Eine eigentliche Begründung für diesen Standpunkt enthält das Urteil Chem-Tec nicht; stattdessen rekurrierte der EuGH in der Begründung auf sein Urteil vom 15. Februar 1977 C-69/76 Dittmeyer , Slg. 1977 S. 231, insb. Randnr. 4), wo die gleiche Aussage allerdings nur hinsichtlich der Stellungnahmen des Ausschusses für das Schema des Gemeinsamen Zolltarifs getroffen wird. In seiner Praxis geht der EuGH namentlich dann von der Unverbindlichkeit der Einreihungsavisen des Weltzollrats aus, wenn "ihre Auslegung mit dem Wortlaut der fraglichen Position der [Kombinierten Nomenklatur] unvereinbar erscheint oder wenn sie sich offensichtlich nicht mehr im Rahmen des de[m Weltzollrat] eingeräumten Ermessens halten" (vgl. in diesem Sinne Urteil vom 19. Januar 2005 C-206/03 SmithKline Beecham plc , Slg. 2005 I-00415, Randnr. 24 mit Hinweisen).</w:t>
      </w:r>
    </w:p>
    <w:p>
      <w:r>
        <w:rPr>
          <w:b/>
        </w:rPr>
        <w:t>E. 4.4.4</w:t>
      </w:r>
    </w:p>
    <w:p>
      <w:r>
        <w:t>Im Unterschied zur schweizerischen Rechtsprechung, welche den auf das HS-Abkommen (Art. 7 Abs. 1 Bst. b, Art. 8 Abs. 2) gestützten Einreihungsavisen des Weltzollrats für die Auslegung der Nomenklatur des HS-Abkommens Verbindlichkeit zumisst (vgl. E. 4.4.1 und 4.4.2 hiervor), verneint der EuGH also die formelle Verbindlichkeit dieser Einreihungsavisen (vgl. E. 4.4.3 hiervor). Im BGE 147 II 441 S. 450 Anwendungsbereich des FHA CH/EWG birgt die divergierende Herangehensweise der rechtsanwendenden Behörden die - im vorliegenden Fall realisierte (vgl. E. 4.3 hiervor) - Gefahr einer Ungleichbehandlung zwischen EU-Exporteuren und schweizerischen Exporteuren (vgl. zu dieser Gefahr auch GAINES/EGELUND OLSEN/ENGSIG SORENSEN, Liberalising Trade in the EU and the WTO - A Legal Comparison, Cambridge 2012, S. 395 f.), indem eine bestimmte Ware nach der Kombinierten Nomenklatur unter Umständen anders einzureihen ist, als nach dem verbindlich auf die Einreihungsavisen des Weltzollrats abstellenden Schweizerischen Recht.</w:t>
      </w:r>
    </w:p>
    <w:p>
      <w:r>
        <w:rPr>
          <w:b/>
        </w:rPr>
        <w:t>E. 4.5</w:t>
      </w:r>
    </w:p>
    <w:p>
      <w:r>
        <w:t>Mit Blick auf die Entscheidung des vorliegenden Falls ist die Frage zu klären, ob an der bisherigen schweizerischen Praxis festzuhalten ist, wonach die Einreihungsavisen des Weltzollrats als (verbindliches) Staatsvertragsrecht zu qualifizieren sind, oder ob diesen Einreihungsavisen lediglich Orientierungsfunktion zukommt, womit eine von den einschlägigen Einreihungsavisen des Weltzollrats abweichende Zolltarifeinreihung unter gewissen Umständen - wie von der Beschwerdeführerin gefordert - vorliegend in Betracht zu ziehen wäre.</w:t>
      </w:r>
    </w:p>
    <w:p>
      <w:r>
        <w:rPr>
          <w:b/>
        </w:rPr>
        <w:t>E. 4.5.1</w:t>
      </w:r>
    </w:p>
    <w:p>
      <w:r>
        <w:t>Rechtsetzende Beschlüsse von Organen internationaler Organisationen (sog. Sekundärrecht; droit dérivé ) sind für die Vertragsstaaten rechtlich in der Regel dann unmittelbar verbindlich, wenn die Vertragsstaaten dem beschliessenden Organ im Gründungsstatut die Kompetenz zum Erlass entsprechender Bestimmungen eingeräumt haben (vgl. MARKUS BENZING, International Organizations or Institutions, Secondary Law, in: The Max Planck Encyclopedia of Public International Law online edition, Rüdiger Wolfrum [Hrsg.], Stand März 2007, Rz. 13; SAMANTHA BESSON, Droit international public, 2019, Rz. 529; PETERS/PETRIG, Völkerrecht: Allgemeiner Teil, 5. Aufl. 2020, S. 261; Bericht des Bundesrates vom 12. Juni 2015 in Erfüllung des Postulates 13.3805 - Klares Verhältnis zwischen Völkerrecht und Landesrecht, S. 13 m.w.H.); wie es sich damit verhält, ergibt sich aus einer Auslegung des betreffenden völkerrechtlichen Vertrags. Beispiele für "Kompetenznormen", die ein Organ einer internationalen Organisation zu verbindlicher Rechtssetzung ermächtigen, sind Art. 25 und 48 der Charta der Vereinigten Nationen vom 26. Juni 1945 (UN-Charta; SR 0.120), die den UNO-Sicherheitsrat dazu ermächtigen, in bestimmten Konstellationen für alle UNO-Mitgliedsstaaten verbindlich Beschluss zu fassen (vgl. dazu BGE 133 II 450 E. 5). BGE 147 II 441 S. 451 Dem HS-Übereinkommen lassen sich, was die hier interessierenden Einreihungsavisen angeht, keine damit vergleichbaren Bestimmungen entnehmen: Zwar verpflichteten sich die Vertragsparteien des HS-Übereinkommens dazu, die Allgemeinen Vorschriften für die Auslegung des Harmonisierten Systems sowie alle Abschnitt-, Kapitel- und Unternummern-Anmerkungen anzuwenden und den Geltungsbereich der Abschnitte, Kapitel, Nummern oder Unternumern des Harmonisierten Systems nicht zu verändern (Art. 3 Abs. 1 Bst. a Ziff. 2 HS-Übereinkommen); eine völkerrechtlich verbindliche Pflicht zur Befolgung der vom Ausschuss ausgearbeiteten Erläuterungen, Einreihungsavise und sonstigen Stellungnahmen über die Auslegung des Harmonisierten Systems (Art. 7 Abs. 1 Bst. b HS-Übereinkommen) lässt sich dem HS-Übereinkommen jedoch (abgesehen von den hier nicht streitbetroffenen Allgemeinen Vorschriften über die Auslegung des Harmonisierten Systems) nicht entnehmen (vgl. auch STEPHAN ALEXANDER, in: Zollkodex der Union [UZK], Peter Witte [Hrsg.], 7. Aufl. 2018, N. 35 zu Art. 56 UZK). Daran ändert nichts, dass der Rat durch Notifikation einer Vertragspartei mit der Einreihungsavise befasst werden kann (vgl. Art. 8 HS-Übereinkommen), zumal auch dem Rat im HS-Übereinkommen von den Vertragsparteien in diesem Zusammenhang keine Befugnis zu verbindlicher Rechtsetzung übertragen worden ist.</w:t>
      </w:r>
    </w:p>
    <w:p>
      <w:r>
        <w:rPr>
          <w:b/>
        </w:rPr>
        <w:t>E. 4.5.2</w:t>
      </w:r>
    </w:p>
    <w:p>
      <w:r>
        <w:t>Gleichwohl bestehen gute Gründe, Einreihungsavisen der Weltzollorganisation bei der nationalen Zolltarifeinreihung grosses Gewicht beizumessen: Würden für die Einreihung bestimmter Produkte keine koordinierenden Vorgaben einer umspannenden internationalen Organisation existieren, bestünde die Gefahr einer Zersplitterung der Tarifierung. Exporteure müssten sich für jede Ausfuhr neu darüber informieren, wie ihre Waren im Zielstaat zu klassifizieren wären. Angesichts der Vielzahl möglicher Exportländer wäre dies mit hohem administrativem Aufwand und zeitlichen Verzögerungen verbunden. Es entspricht jedoch gerade einem der Ziele des HS-Übereinkommens, die "Kosten zu senken, die dadurch entstehen, dass im internationalen Handelsverkehr Waren beim Übergang von einem Klassifizierungssystem zu einem anderen neu bezeichnet, neu eingereiht und neu codiert werden müssen" (vgl. dritter Erwägungsgrund der Präambel des HS-Übereinkommens [Hervorhebung im Original nicht enthalten]); letztlich soll der internationale Handel insgesamt erleichtert werden (vgl. erster Erwägungsgrund der Präambel des HS-Übereinkommens). Einreihungsavisen BGE 147 II 441 S. 452 der Weltzollorganisation leisten zu diesem Ziel der Herstellung von Rechtssicherheit im internationalen Handel - unabhängig von ihrem Inhalt - einen wichtigen Beitrag. Für die Mitgliedsstaaten des Harmonisierten Systems, die sich den in der Präambel des HS-Übereinkommens formulierten Zielen vertraglich verschrieben haben, drängt sich deshalb auf, ihnen bei der nationalen Zolltarifeinreihung grundsätzlich Folge zu leisten, es sei denn, zwingende Gründe sprächen dagegen. Einen mit diesen vorstehenden Erwägungen vergleichbaren autonomen Ansatz verfolgen neben dem EuGH (vgl. E. 4.4.3 hiervor) namentlich auch die US-amerikanischen Gerichte (vgl. Cummins Inc. v. United States, 454 F.3d 1361 [Fed. Cir. 2006]: "[...] the WCO opinion is not binding and is entitled, at most, to respectful consideration; vgl. allgemein zur Berücksichtigung von Materialien der Weltzollorganisation für die Zolltarifeinreihung aus amerikanischer Perspektive FRIEDMAN/MARTINEZ, What is Persuasive? Pushing WCO Materials Through the Skidmore Sieve, abrufbar unter www.cit.uscourts.Gov /sites/cit/files/Lawrence%20Friedman%20Paper.pdf).</w:t>
      </w:r>
    </w:p>
    <w:p>
      <w:r>
        <w:rPr>
          <w:b/>
        </w:rPr>
        <w:t>E. 4.5.3</w:t>
      </w:r>
    </w:p>
    <w:p>
      <w:r>
        <w:t>Zwingende Gründe, die gegen die Berücksichtigung einer Einreihungsavise der Weltzollorganisation sprechen (vgl. E. 4.5.2 hiervor), können beispielsweise darin liegen, dass eine von der Weltzollorganisation vorgenommene Einreihung mit Blick auf den Wortlaut des schweizerischen Gebrauchstarifs als unhaltbar erscheint oder dass der Einreihungsvorschlag aufgrund gefestigter wissenschaftlicher Erkenntnisse mittlerweile überholt ist. Eine abweichende Einordnung des EuGH bildet für sich genommen keinen Grund dafür, eine Einreihungsavise des Weltzollrats ausser Acht zu lassen, zumal damit Handelsdistorsionen im Verhältnis zu Drittstaaten geschaffen würden; ein entsprechendes Urteil kann jedoch - soweit es überzeugend begründet ist - immerhin Anlass geben, sich die Frage zu stellen, ob Gründe dafür bestehen, ausnahmsweise von der Einreihung gemäss der Avise der Weltzollorganisation abzuweichen.</w:t>
      </w:r>
    </w:p>
    <w:p>
      <w:r>
        <w:rPr>
          <w:b/>
        </w:rPr>
        <w:t>E. 4.6</w:t>
      </w:r>
    </w:p>
    <w:p>
      <w:r>
        <w:t>Bei den vorliegend zu beurteilenden Erzeugnissen handelt es sich um Nahrungsergänzungsmittel auf der Grundlage tierischer oder pflanzlicher Öle, denen eine geringfügige Menge an Vitamin-E-Acetat (Perillaöl Kapseln D.) bzw. Alpha-Tocopherol (B.) zugesetzt ist. Die entsprechenden Gemische befinden sich in einer Hülle, die hauptsächlich aus Stärke (F.) besteht; sie werden in Form von Kapseln verabreicht (vgl. zit. Urteil A-5273/2018 Bst. F, E. 3.2 und BGE 147 II 441 S. 453 3.2.2). Den Kapselhüllen kommt dabei eine ganz bestimmte Funktion zu: Sie bestimmen über die Art und Weise der Aufnahme des Kapselinhalts und den Ort, an dem die betreffenden Gemische ihre Wirkung entfalten sollen. Die Kapselhülle kann damit klarerweise nicht als blosse Verpackung im Sinne der Allgemeinen Vorschrift 5 zum HS-Übereinkommen bezeichnet werden; vielmehr ist sie ein charakteristischer Bestandteil der hier zu beurteilenden Produkte. Entgegen der Vorinstanz - und in Einklang mit dem EuGH (vgl. zit. Urteil vom 17. Dezember 2009 in den verbundenen Rechtssachen C-410/08 bis C-412/08 Swiss Caps - muss deshalb die Produktkomponente Stärke, aus welcher die strittigen Kapselhüllen nach den verbindlichen Feststellungen der Vorinstanz im Wesentlichen bestehen, für die Einreihung mitberücksichtigt werden. Unbesehen des Umstands, dass der Kapselinhalt aus Stoffen besteht, die für sich genommen der Zolltarifnummer 1515.90 zuzuweisen wären, liegt die von der Beschwerdeführerin vorgeschlagene Einreihung in die Zolltarifnummer 2106.90 ("andere Nahrungsmittelzubereitungen") bei einer solchen Betrachtung deutlich näher. Die anderslautenden Einreihungsavisen des Weltzollrats tragen der spezifischen Wirkungsweise der streitgegenständlichen Produkte nicht Rechnung. Vor diesem Hintergrund rechtfertigt es sich ausnahmsweise, von diesen Einreihungsavisen abzuweichen, und die streitgegenständlichen Produkte der Zolltarifnummer 2106.90 zuzuweisen. Dass die von der Beschwerdeführerin deklarierten Ursprungseigenschaften bei einer solchen Einreihung rechtmässig sind, ist oben bereits festgestellt worden (vgl. E. 4 hiervor).</w:t>
      </w:r>
    </w:p>
    <w:p>
      <w:r>
        <w:rPr>
          <w:b/>
        </w:rPr>
        <w:t>E. 4.7</w:t>
      </w:r>
    </w:p>
    <w:p>
      <w:r>
        <w:t>Aufgrund der vorstehenden Erwägungen erweist sich die Beschwerde als begründet. Die Beschwerde ist gutzuheissen und es ist festzustellen, dass die Ursprungserklärungen auf den Rechnungen Nr. 90116116, Nr. 90117105, Nr. 90117671, Nr. 90117753, Nr. 90119745, Nr. 90125817, Nr. 90131562 und Nr. 90135536 zu Recht ausgestellt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