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125</w:t>
      </w:r>
    </w:p>
    <w:p>
      <w:r>
        <w:t>Bundesgericht (BGE), 2020-01-01, DE</w:t>
      </w:r>
    </w:p>
    <w:p>
      <w:r>
        <w:rPr>
          <w:b/>
        </w:rPr>
        <w:t xml:space="preserve">Quelle: </w:t>
      </w:r>
      <w:r>
        <w:t>https://mcp.opencaselaw.ch/entscheid/bge_BGE_147_II_125</w:t>
      </w:r>
    </w:p>
    <w:p>
      <w:r>
        <w:t>FR: ATF 147 II 125</w:t>
      </w:r>
    </w:p>
    <w:p>
      <w:r>
        <w:t>IT: DTF 147 II 125</w:t>
      </w:r>
    </w:p>
    <w:p>
      <w:pPr>
        <w:pStyle w:val="Heading2"/>
      </w:pPr>
      <w:r>
        <w:t>Regeste</w:t>
      </w:r>
    </w:p>
    <w:p>
      <w:r>
        <w:t>Regeste §§ 205 und 207 PBG/ZH; Inventarentlassung; Abwägung zwischen Schutzinteressen und entgegenstehenden (öffentlichen) Interessen bei einem denkmalpflegerisch hochrangigen Schutzobjekt. Es ist nicht generell unzulässig, bei der Suche nach Möglichkeiten für eine Siedlungsentwicklung nach innen und eine bauliche Verdichtung auch den Abbruch denkmalpflegerisch interessanter Objekte in Betracht zu ziehen. Das Anliegen der inneren Verdichtung hängt im vorliegenden Fall stark von der Bedeutung des betroffenen Schutzobjekts ab (E. 9). Es ist ein anerkanntes öffentliches Interesse, das Bedürfnis der Bevölkerung an einem genügenden Angebot von preisgünstigen Mietwohnungen zu befriedigen. Bei den von den Beschwerdeführerinnen geltend gemachten Sanierungskosten handelt es sich mehrheitlich um angestauten Renovationsbedarf. Rentabilitätsüberlegungen stehen einer Unterschutzstellung vorliegend nicht entgegen. Die deutliche Erhöhung des Mietzinses stellt kein taugliches Argument dar, um den Abriss des Schutzobjekts zu rechtfertigen (E. 10). Insgesamt erweist sich das sehr erhebliche öffentliche Interesse am Erhalt der Gründersiedlung des Friesenbergquartiers und an deren Unterschutzstellung als gewichtiger als das Interesse der inneren Verdichtung. Ökologischen Überlegungen sowie dem Anliegen, günstigen Wohnraum zu schaffen, kommt vorliegend keine ausschlaggebende Bedeutung zu, da die Auswirkungen dieser Aspekte nicht klar sind (E. 12).</w:t>
      </w:r>
    </w:p>
    <w:p>
      <w:r>
        <w:t>Regeste §§ 205 et 207 PBG/ZH; retrait de l'inventaire; mise en balance des intérêts à la protection et des intérêts (publics) opposés dans le cadre de la préservation de constructions à haute valeur patrimoniale. Lors de la recherche de possibilités de densification et de développement de l'urbanisation à l'intérieur du milieu bâti, il n'est pas d'emblée exclu d'envisager la démolition de constructions intéressantes sous l'angle de la préservation du patrimoine. Dans le cas d'espèce, le projet de mettre en oeuvre la densification du milieu bâti dépend fortement de l'importance à accorder aux constructions protégées concernées (consid. 9). Il existe un intérêt public à satisfaire le besoin de la population de disposer d'une offre suffisante en matière de logements à loyer abordable. Les coûts d'assainissement que font valoir dans ce contexte les recourantes se rapportent toutefois majoritairement à un besoin de rénovation qui s'était accru au fil du temps. Ces considérations de rentabilité ne s'opposent pas en l'espèce au maintien des constructions protégées. L'augmentation significative des loyers ne constitue pas un argument propre à justifier la démolition de ces constructions (consid. 10). Dans l'ensemble, il existe un intérêt public très important à la préservation des premières habitations du quartier du Friesenberg et à leur protection, qui doit être privilégié par rapport à l'intérêt d'une densification du milieu bâti. Les considérations écologiques ainsi que la nécessité de créer des espaces de vie abordables, ne sont pas en l'occurrence d'une importance décisive, compte tenu de l'absence de clarté des effets escomptés quant à ces aspects (consid. 12).</w:t>
      </w:r>
    </w:p>
    <w:p>
      <w:r>
        <w:t>Regesto §§ 205 e 207 PBG/ZH; stralcio dall'inventario; ponderazione tra gli interessi di protezione e gli interessi (pubblici) contrapposti nel caso di un oggetto altamente degno di protezione sotto il profilo della tutela dei monumenti. Nell'ambito della ricerca di possibilità per uno sviluppo centripeto degli insediamenti e per una densificazione, non è generalmente inammissibile prendere in considerazione anche la demolizione di oggetti interessanti sotto il profilo della protezione dei monumenti. Nella fattispecie, l'esigenza della densificazione della superficie insediativa dipende fortemente dall'importanza attribuita al bene protetto interessato (consid. 9). Esiste un interesse pubblico riconosciuto a soddisfare il bisogno della popolazione di disporre di un'offerta sufficiente di alloggi a pigione moderata. I costi di risanamento fatti valere dalle ricorrenti sono prevalentemente riconducibili a necessità di rinnovamento accumulatesi nel tempo. Considerazioni relative alla redditività non si oppongono in concreto al mantenimento della protezione. Il sensibile aumento della pigione non costituisce un argomento idoneo a giustificare la demolizione del bene protetto (consid. 10). Nel complesso, l'interesse pubblico molto rilevante al mantenimento dell'insediamento fondativo del quartiere di Friesenberg e alla sua protezione risulta superiore all'interesse alla densificazione della zona edificabile. Le considerazioni ecologiche, come pure l'esigenza di realizzare spazi abitativi convenienti, non rivestono nella fattispecie un'importanza decisiva, considerata la mancanza di chiarezza riguardo agli effetti di questi aspetti (consid. 12).</w:t>
      </w:r>
    </w:p>
    <w:p>
      <w:pPr>
        <w:pStyle w:val="Heading2"/>
      </w:pPr>
      <w:r>
        <w:t>Erwägungen</w:t>
      </w:r>
    </w:p>
    <w:p>
      <w:r>
        <w:rPr>
          <w:b/>
        </w:rPr>
        <w:t>E. 8</w:t>
      </w:r>
    </w:p>
    <w:p>
      <w:r>
        <w:t>Ist ein Objekt schutzwürdig im Sinne von §§ 205 und 207 Planungs- und Baugesetzes des Kantons Zürich vom 7. September 1975 (PBG/ZH; OS 700.1), bedeutet das noch nicht zwingend, dass Schutzmassnahmen angeordnet werden müssen. Davon ist auch die Vorinstanz ausgegangen. Vielmehr ist im Lichte der festgestellten Heimatschutzanliegen eine Abwägung zwischen den Schutzinteressen und entgegenstehenden öffentlichen oder privaten Interessen vorzunehmen, was sich bereits aus dem verfassungsmässigen Verhältnismässigkeitsgrundsatz ergibt (vgl. auch BGE 135 II 209 E. 2.1 S. 213; Urteile 1C_616/2015 vom 8. Dezember 2016 E. 3; 1C_130/2014 vom 6. Januar 2015 E. 3). Insoweit sind sich die Parteien einig. Die Beschwerdeführerinnen sind allerdings der Auffassung, die Vorinstanz habe die Anliegen der Verdichtung, der Schaffung von günstigem Wohnraum sowie ökologische Aspekte zu wenig gewichtet; sie machen sodann geltend, die Verpflichtung der Stadt, die Gründersiedlung unter Schutz zu stellen, bzw. das damit einhergehende Verbot, diese abzureissen und durch Neubauten zu ersetzen, stelle einen schwerwiegenden Eingriff in die Rechtsstellung der Genossenschaft A. dar. BGE 147 II 125 S. 129 Nachfolgend werden die erwähnten Interessen analysiert und gewichtet und schliesslich dem Anliegen des Erhalts der Überbauungen gegenüber gestellt.</w:t>
      </w:r>
    </w:p>
    <w:p>
      <w:r>
        <w:rPr>
          <w:b/>
        </w:rPr>
        <w:t>E. 9.1</w:t>
      </w:r>
    </w:p>
    <w:p>
      <w:r>
        <w:t>Die Beschwerdeführerinnen machen in erster Linie geltend, die Vorinstanz habe das raumplanungsrechtliche Anliegen der inneren Verdichtung zu wenig berücksichtigt. Die Stadt Zürich verweist in diesem Zusammenhang namentlich auf den kantonalen Richtplan vom 22. Oktober 2018, der die Erhöhung der Dichte in bestehenden Bauzonen, beispielsweise durch Aufzonung an gut erschlossenen Lagen, ausdrücklich vorsieht (Kapitel 1.2 und 2.2.3). Langfristig sei vorgesehen, in der Stadt Zürich Raum für 80'000 zusätzliche Bewohnerinnen und Bewohner zu schaffen. Das Friesenbergquartier weise aufgrund seiner lockeren Bauweise ein hohes Verdichtungspotential auf; dies gelte namentlich für die ersten beiden Bauetappen der Friesenbergsiedlung. Innerhalb des Quartiers handle es sich dabei um die Areale mit der geringsten baulichen Dichte und es wäre möglich, eine viel höhere Zahl von Wohneinheiten zu bauen. Zudem sei das Gebiet mit dem öffentlichen Verkehr besonders gut erschlossen.</w:t>
      </w:r>
    </w:p>
    <w:p>
      <w:r>
        <w:rPr>
          <w:b/>
        </w:rPr>
        <w:t>E. 9.2</w:t>
      </w:r>
    </w:p>
    <w:p>
      <w:r>
        <w:t>Namentlich seit der Revision des Raumplanungsgesetzes vom 15. Juni 2012 (in Kraft seit 1. Mai 2014) gehört es zu den erklärten Zielen und Grundsätzen der Raumplanung, den Boden haushälterisch zu nutzen und die Siedlungsentwicklung namentlich durch bessere Ausnützung und Verdichtung der bestehenden Siedlungsflächen nach innen zu lenken (Art. 1 Abs. 1 und 2 lit. a bis und Art. 3 Abs. 3 lit. a bis RPG [SR 700]). Das revidierte RPG verpflichtet die Kantone zudem, binnen fünf Jahren ihre kantonalen Richtpläne anzupassen, insbesondere um eine hochwertige Siedlungsentwicklung nach innen zu bewirken und die Siedlungserneuerung zu stärken ( Art. 8a Abs. 1 lit. c und e RPG ). Das Bundesgericht hat in seiner jüngeren Rechtsprechung dem Anliegen der inneren Verdichtung vorab im Zusammenhang mit Fragen des Bauens an lärmbelasteten Standorten Gewicht eingeräumt und bei der Abwägung der verschiedenen, einander entgegenstehenden Interessen berücksichtigt ( BGE 145 II 189 E. 8.1 S. 195; BGE 142 II 100 E. 4.6 S. 111).</w:t>
      </w:r>
    </w:p>
    <w:p>
      <w:r>
        <w:rPr>
          <w:b/>
        </w:rPr>
        <w:t>E. 9.3</w:t>
      </w:r>
    </w:p>
    <w:p>
      <w:r>
        <w:t>Die Vorinstanz hat befunden, der haushälterische Umgang mit dem Boden und die Verdichtung seien an sich gewichtige öffentliche Interessen. Allerdings könnten durch den Abbruch schutzwürdiger Liegenschaften regelmässig höhere Ausnutzungen erzielt werden, BGE 147 II 125 S. 130 weshalb das Interesse der Verdichtung bei der Interessenabwägung keine erhebliche Rolle spielen könne. Die Vorinstanz hat somit dieses Anliegen der Beschwerdeführerinnen berücksichtigt und deren Gehörsanspruch daher nicht verletzt, auch wenn sie ihm einen geringeren Stellenwert eingeräumt hat. Immerhin kann die Argumentation der Vorinstanz missverständlich erscheinen. Ihr könnte nicht gefolgt werden, wenn damit gesagt werden sollte, dass es generell unzulässig wäre, bei der Suche nach Möglichkeiten für eine Siedlungsentwicklung nach innen und eine bauliche Verdichtung auch den Abbruch denkmalpflegerisch interessanter Objekte in Betracht zu ziehen. Gerade in Fällen wie dem vorliegenden, wo es um die Unterschutzstellung eines grösseren Areals geht und zudem ein erhebliches Verdichtungspotential besteht, dürfen solche Möglichkeiten nicht vorweg ausser Betracht fallen. Allerdings trifft es auch zu, dass ältere Siedlungen regelmässig eine geringere Nutzungsdichte aufweisen als Neubauten. Insofern könnte das Argument der Verdichtung fast immer zu Ungunsten des Denkmalschutzes angefügt werden, was - bei hoher Gewichtung dieses Elements - einer sachgerechten Interessenabwägung widerspräche. Die Stadt Zürich beruft sich im vorliegenden Zusammenhang auf den kantonalen Richtplan. Wie sie zu Recht geltend macht, sieht dieser eine bauliche Verdichtung der bestehenden Bauzonen ausdrücklich vor. Allerdings misst der Richtplan auch dem Ortsbildschutz ein erhebliches Gewicht bei und weist darauf hin, dass die Umsetzung des Ziels der Siedlungsentwicklung nach innen in überkommunal geschützten Ortsbildern besonders hohe Anforderungen stellt. Die Nutzung der vorhandenen Potenziale ist gemäss Richtplan sowohl in qualitativer als auch quantitativer Hinsicht auf die Schutzziele abzustimmen (Kapitel 2.4.1). Die kantonalen und kommunalen Behörden tragen bei ihrer planerischen Tätigkeit namentlich auch dem Bundesinventar der schützenswerten Ortsbilder der Schweiz von nationaler Bedeutung (ISOS) Rechnung (Kapitel 2.4.3). Zusammenfassend kann festgehalten werden, dass das Anliegen der inneren Verdichtung bei der nachfolgenden Interessenabwägung zu berücksichtigen und ihm dabei durchaus ein gewisses Gewicht beizumessen ist, dieses aber stark von der Bedeutung des betroffenen Schutzobjekts abhängt.</w:t>
      </w:r>
    </w:p>
    <w:p>
      <w:r>
        <w:rPr>
          <w:b/>
        </w:rPr>
        <w:t>E. 10.1</w:t>
      </w:r>
    </w:p>
    <w:p>
      <w:r>
        <w:t>Sodann sind die Beschwerdeführerinnen der Auffassung, das Verwaltungsgericht habe das öffentliche und das private Interesse BGE 147 II 125 S. 131 an günstigem Wohnraum verkannt. Dies stelle nicht nur ein kommunales Interesse dar, sondern sei auch auf übergeordneter Ebene verankert. Die Genossenschaft A. habe ein wesentliches Interesse an den Ersatzbauten, wobei es nicht um das Erzielen von Gewinn gehe, da die Genossenschaft ihre Wohnungen in Kostenmiete zur Verfügung stelle. Weil der bauliche Zustand der bestehenden Siedlungen schlecht sei, käme die Sanierung der Gründersiedlung überaus teuer, ohne qualitativ den Standard eines Neubaus zu erreichen. Die Mietpreise müssten stark erhöht werden, auf ein Niveau, das für eine gemeinnützige Wohnbaugenossenschaft nicht mehr tragbar sei. Durch die Pflicht zum Erhalt der Gründersiedlung gehe damit günstiger Wohnraum verloren. Das Verwaltungsgericht hat dagegen befunden, es sei "nicht ersichtlich, dass beim Weiterbestand der Siedlung vergleichsweise hohe Sanierungskosten entstehen würden". Der Beschwerdegegner seinerseits bestreitet die Vorbringen der Beschwerdeführerinnen zu den künftigen Mietzinsen und erachtet es als nicht nachgewiesen, dass besonders hohe Renovationskosten anfallen würden. Das Bundesamt für Kultur (BAK) schliesslich weist darauf hin, im Dokument "Mietzinsvergleich Genossenschaft A." würden bei Ersatzneubauten höhere Mieten ausgewiesen als bei sanierten Siedlungen.</w:t>
      </w:r>
    </w:p>
    <w:p>
      <w:r>
        <w:rPr>
          <w:b/>
        </w:rPr>
        <w:t>E. 10.2</w:t>
      </w:r>
    </w:p>
    <w:p>
      <w:r>
        <w:t>Gemäss Art. 2 quater der Gemeindeordnung der Stadt Zürich vom 26. April 1970 (in der Fassung mit Änderungen bis 26. November 2017) setzt sich die Gemeinde namentlich aktiv für den Schutz, die Erhaltung und die Erhöhung des Anteils von preisgünstigen Wohnungen und Gewerberäumen ein. Wie die Stadt Zürich in ihrer Beschwerde zu Recht geltend macht, handelt es sich dabei nicht um eine rein kommunale Zielsetzung. Vielmehr setzen sich auch der Bund und die Kantone gemäss Art. 41 Abs. 1 lit. e BV dafür ein, dass Wohnungssuchende für sich und ihre Familie eine angemessene Wohnung zu tragbaren Bedingungen finden können (darüber hinaus fördert der Bund die Tätigkeit von Trägern und Organisationen des gemeinnützigen Wohnungsbaus auch direkt [vgl. Art. 108 Abs. 1 BV und das gestützt darauf erlassene Wohnraumförderungsgesetz vom 21. März 2003, SR 842]). Schliesslich fördern nach Art. 110 der Verfassung des Kantons Zürich vom 27. Februar 2005 (KV/ZH; SR 131.211) auch Kanton und Gemeinden den gemeinnützigen Wohnungsbau. Demgemäss entspricht es nach der Rechtsprechung des Bundesgerichts einem anerkannten öffentlichen Interesse, das Bedürfnis der Bevölkerung an einem genügenden Angebot von BGE 147 II 125 S. 132 preisgünstigen Mietwohnungen zu befriedigen ( BGE 146 I 70 E. 5.3). Allerdings ist es entgegen der Auffassung der Stadt Zürich nicht gerichtsnotorisch, "dass angesichts der Wohnungsknappheit in der Stadt Zürich gerade Familien grosse Mühe bekunden, zahlbaren Wohnraum zu finden" (zum Begriff der Gerichtsnotorietät BGE 143 IV 380 E. 1.1.1 S. 383).</w:t>
      </w:r>
    </w:p>
    <w:p>
      <w:r>
        <w:rPr>
          <w:b/>
        </w:rPr>
        <w:t>E. 10.3</w:t>
      </w:r>
    </w:p>
    <w:p>
      <w:r>
        <w:t>Für die bundesgerichtliche Beurteilung kann von Kosten für die Sanierung von insgesamt knapp Fr. 55 Mio. für die ersten beiden Bauetappen der Friesenbergsiedlung ausgegangen werden (zum baulichen Zustand der Siedlung vgl. nicht publ. E. 3.2). Dieser Betrag ergibt sich aus der von der Stadt Zürich in Auftrag gegebenen, von einem unabhängigen Architekturbüro erarbeiteten Machbarkeitsstudie vom August 2015; er wird auch von keiner Seite bestritten. Darin enthalten ist der gesamte Erneuerungsbedarf ohne Optionen (wie Grundrissveränderungen oder die Schaffung eines direkten Ausgangs in den Garten). Diese Kosten sind erheblich, auch wenn die Genossenschaft A. - wie sie in ihrer Replik bestätigt - in den letzten Jahrzehnten Rückstellungen getätigt hat. Vor diesem Hintergrund erscheint es plausibel, dass die Mieten für die Wohnungen in der Gründersiedlung deutlich nach oben angepasst werden müssten und höher ausfielen als bei üblichen Sanierungen der Genossenschaft A. Hingegen behaupten die Beschwerdeführerinnen nicht, die Sanierung würde mehr kosten als der Abriss der Siedlungen und deren Ersatz durch Neubauten. Wie hoch die Mieten im Falle der Sanierung festgesetzt werden müssten, steht nicht fest. Die Genossenschaft A. äussert sich dazu in ihrer Beschwerde nicht substanziiert und auch die Stadt Zürich verweist bloss auf frühere Eingaben, was als Begründung nicht genügt ( BGE 140 III 115 E. 2 S. 116). Wie sich am Augenschein bestätigt hat, befinden sich die Wohnungen äusserlich in einem guten Zustand. Der Sanierungsbedarf betrifft - neben der besseren Isolation - vorab die Leitungen und die Kanalisation (vgl. nicht publ. E. 3.2). Es liegt allerdings in der Natur der Sache, dass diese Anlagen nach Ablauf ihrer Lebensdauer ersetzt werden müssen. Bei den hohen Sanierungskosten, welche die Beschwerdeführerinnen geltend machen, handelt es sich somit mehrheitlich um angestauten Renovationsbedarf. Hätte die Genossenschaft A. diese Erneuerungsarbeiten bereits früher vorgenommen, wären die zu erwartenden Sanierungskosten geringer und die heutigen Mietzinse höher. Insofern stellt die zu erwartende, deutliche Erhöhung des Mietzinses kein taugliches Argument dar, um den Abriss des Schutzobjekts zu rechtfertigen. BGE 147 II 125 S. 133</w:t>
      </w:r>
    </w:p>
    <w:p>
      <w:r>
        <w:rPr>
          <w:b/>
        </w:rPr>
        <w:t>E. 10.4</w:t>
      </w:r>
    </w:p>
    <w:p>
      <w:r>
        <w:t>Beide Beschwerdeführerinnen machen in diesem Zusammenhang die mit einer Unterschutzstellung einhergehende "ausserordentliche Schwere des Eingriffs" zulasten der Genossenschaft A. geltend, die einen grossen Teil der möglichen Ausnutzung ihres Terrains verlieren würde. Inwiefern die Gemeinde im Rahmen ihrer Autonomiebeschwerde überhaupt legitimiert ist, Rügen betreffend die Schwere eines Eingriffs in private Rechte zu rügen, kann an dieser Stelle offenbleiben. Das Ergreifen von Schutzmassnahmen, wie von der Vorinstanz angeordnet, würde jedenfalls keinen unzulässigen Eingriff in die Eigentumsgarantie der Genossenschaft A. - falls dies die Stossrichtung der Stadt sein sollte - darstellen. Nach der Praxis ist ein durch Schutzmassnahmen verursachter Grundrechtseingriff nicht unverhältnismässig, wenn, wie hier, keine ebenso geeignete, mildere Anordnung für den angestrebten Erfolg in Betracht fällt. Rentabilitätsüberlegungen sind dabei umso geringer zu gewichten, je schutzwürdiger eine Baute ist ( BGE 126 I 219 E. 2c S. 222). Zudem können rein finanzielle Interessen bei ausgewiesener Schutzwürdigkeit für sich genommen nicht ausschlaggebend sein (Urteile 1C_285/2017 vom 27. Oktober 2017 E. 3.3; 1C_55/2011 vom 1. April 2011 E. 7.1 mit Hinweisen). Hinzu kommt, dass die Genossenschaft A. als gemeinnützige Wohnbaugenossenschaft nicht gewinnorientiert ist und keine möglichst lukrative Nutzung der Wohnungen anstrebt. In der Machbarkeitsstudie des Architekturbüros Fahrländer Scherrer, welche die Möglichkeiten und Kosten der Sanierung der Gründersiedlung analysiert hat, wird sodann ausgeführt, es werde auch in Zukunft - also nach erfolgten Renovationsarbeiten und zu entsprechend höheren Preisen - kein Problem darstellen, die Häuser und Wohnungen zu vermieten, was die Beschwerdeführerinnen nicht bestreiten. Es mag zutreffen, dass die künftigen Mieten im Grenzbereich dessen liegen werden, was mit dem Zweck der Genossenschaft A. als gemeinnütziger Wohnbaugenossenschaft vereinbar ist. Für die Unterschutzstellung kann die Rechtsform der Eigentümerschaft bzw. deren Zwecksetzung indes keine Rolle spielen. Es gilt ausserdem anzufügen, dass die Vorinstanz die Sache an die Stadt Zürich zurückgewiesen hat mit dem Hinweis, dass der festzulegende Schutzumfang der betroffenen Objekte nicht einschneidender sein darf als notwendig. Sie hat nicht die integrale Unterschutzstellung jedes Hauses der Gründersiedlung beschlossen. Es ist also nicht von Vornherein ausgeschlossen, dass einzelne Objekte nicht unter Schutz gestellt werden könnten. BGE 147 II 125 S. 134</w:t>
      </w:r>
    </w:p>
    <w:p>
      <w:r>
        <w:rPr>
          <w:b/>
        </w:rPr>
        <w:t>E. 11</w:t>
      </w:r>
    </w:p>
    <w:p>
      <w:r>
        <w:t>Die Genossenschaft A. macht schliesslich noch ökologische Gründe für den Abbruch der interessierenden Siedlungen geltend. Die bestehenden Altbauten wiesen eine ungünstige Energiebilanz auf. Dank einer energieeffizienten Bauweise könnte der Verbrauch fossiler Energie im Falle eines Neubaus stark gesenkt werden. Dieses Argument ist zutreffend, hat aber im Rahmen der Interessenabwägung bezüglich einer schützenswerten Baute kein hohes Gewicht. Dasselbe gilt für die vom BAK namhaft gemachten ökologischen Argumente für den Erhalt der Siedlungen: Es sind dies zum einen die - nicht näher spezifizierte - "bemerkenswerte Flora" der grossen Hausgärten, zum andern die positiven Aspekte der freien Grünflächen im städtischen Raum, die im Kontext des Klimawandels wesentlich zur Luftzirkulation und Kühlung beitragen würden.</w:t>
      </w:r>
    </w:p>
    <w:p>
      <w:r>
        <w:rPr>
          <w:b/>
        </w:rPr>
        <w:t>E. 12</w:t>
      </w:r>
    </w:p>
    <w:p>
      <w:r>
        <w:t>Insgesamt ergibt sich, dass ein sehr erhebliches öffentliches Interesse am Erhalt der Gründersiedlung des Friesenbergquartiers besteht. Wie sich aus allen gutachterlichen Stellungnahmen ergibt und sich am bundesgerichtlichen Augenschein bestätigt hat, kommt den beiden ersten Bauetappen "Pappelstrasse" und "Schweighof Nord" grosse, über Zürich hinausreichende architektur- und sozialgeschichtliche Bedeutung zu. Das Anliegen der baulichen Verdichtung wiegt bezogen auf den vorliegenden Fall deutlich weniger schwer, denn der Erhalt historischer Bausubstanz bedingt fast immer den Verzicht auf eine maximale Ausnutzung des Bodens (vgl. auch Urteil 1C_610/ 2018 vom 12. Juni 2019 E. 5.3.3) und in der Stadt Zürich - und wohl auch im Friesenbergquartier - bestehen andere Möglichkeiten der inneren Verdichtung, die nicht in einem derart ausgeprägten Konflikt mit dem Denkmalschutz stehen. Schliesslich kommt ökologischen Überlegungen sowie dem Anliegen, günstigen Wohnraum zu schaffen, im hier interessierenden Zusammenhang keine ausschlaggebende Bedeutung zu, denn die Auswirkungen dieser Aspekte auf die Beurteilung des vorliegenden Falles sind nicht klar. Damit erweist sich das öffentliche Interesse am Erhalt der Gründersiedlung und an deren Unterschutzstellung insgesamt als gewichtiger. Die Interessenabwägung der Vorinstanz ist im Ergebnis nicht zu beanstanden und ist auch nicht in Verletzung des rechtlichen Gehörs der Beschwerdeführerinnen ergangen. Die Beschwerden sind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