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301</w:t>
      </w:r>
    </w:p>
    <w:p>
      <w:r>
        <w:t>Bundesgericht (BGE), 2021-02-09, DE</w:t>
      </w:r>
    </w:p>
    <w:p>
      <w:r>
        <w:rPr>
          <w:b/>
        </w:rPr>
        <w:t xml:space="preserve">Quelle: </w:t>
      </w:r>
      <w:r>
        <w:t>https://mcp.opencaselaw.ch/entscheid/bge_BGE_147_III_301</w:t>
      </w:r>
    </w:p>
    <w:p>
      <w:r>
        <w:t>FR: ATF 147 III 301</w:t>
      </w:r>
    </w:p>
    <w:p>
      <w:r>
        <w:t>IT: DTF 147 III 301</w:t>
      </w:r>
    </w:p>
    <w:p>
      <w:pPr>
        <w:pStyle w:val="Heading2"/>
      </w:pPr>
      <w:r>
        <w:t>Regeste</w:t>
      </w:r>
    </w:p>
    <w:p>
      <w:r>
        <w:t>Regeste a Art. 58 Abs. 1, Art. 271 lit. a, Art. 277 Abs. 1 und Art. 296 Abs. 1 und 3 ZPO; Auswirkung der Prozessmaximen für den Kindesunterhalt auf den (nach-)ehelichen Unterhalt. Die kraft der uneingeschränkten Untersuchungsmaxime für den Kindesunterhalt gewonnenen Erkennnisse können für den im gleichen Entscheid zu beurteilenden (nach-)ehelichen Unterhalt nicht einfach ausgeblendet werden (E. 2).</w:t>
      </w:r>
    </w:p>
    <w:p>
      <w:r>
        <w:t>Regeste b Art. 163 ZGB; Berechnung des ehelichen Unterhaltes; Verbindlichkeit der zweistufigen Methode mit Überschussverteilung. Die zweistufig-konkrete Methode ist in Abkehr vom Methodenpluralismus auch im Bereich des ehelichen Unterhaltes zu beachten (E. 4).</w:t>
      </w:r>
    </w:p>
    <w:p>
      <w:r>
        <w:t>Regeste c Art. 163 und 176 Abs. 1 Ziff. 1 ZGB; Zumutbarkeit der (Wieder-)Aufnahme einer Erwerbstätigkeit bei Trennung. Kann mit der Wiederaufnahme des gemeinsamen Haushaltes nicht mehr ernsthaft gerechnet werden, ist die Arbeitskapazität, welche infolge der Befreiung von Naturalleistungen an die Gemeinschaft frei geworden ist, grundsätzlich auszuschöpfen und eine Erwerbstätigkeit aufzunehmen, soweit dies tatsächlich möglich ist (E. 6).</w:t>
      </w:r>
    </w:p>
    <w:p>
      <w:r>
        <w:t>Regeste a Art. 58 al. 1, art. 271 let. a, art. 277 al. 1 et art. 296 al. 1 et 3 CPC; effet des maximes procédurales applicables à l'entretien de l'enfant sur l'entretien entre (ex-)époux. Les constatations obtenues en vertu de la maxime inquisitoire illimitée pour l'entretien de l'enfant ne peuvent pas être simplement ignorées pour la contribution entre (ex-)époux lorsque celle-ci doit être fixée dans la même décision (consid. 2).</w:t>
      </w:r>
    </w:p>
    <w:p>
      <w:r>
        <w:t>Regeste b Art. 163 CC; calcul de la contribution d'entretien entre époux; caractère contraignant de la méthode en deux étapes avec répartition de l'excédent. La méthode concrète en deux étapes doit aussi être observée dans le domaine de l'entretien entre époux, vu l'abandon du pluralisme des méthodes (consid. 4).</w:t>
      </w:r>
    </w:p>
    <w:p>
      <w:r>
        <w:t>Regeste c Art. 163 et 176 al. 1 ch. 1 CC; caractère raisonnablement exigible de la prise ou de la reprise d'une activité lucrative en cas de séparation. Lorsqu'on ne peut plus sérieusement compter sur une reprise de la vie commune, l'époux dispensé de fournir des prestations en nature à l'union conjugale doit en principe épuiser sa capacité de travail ainsi libérée et exercer une activité rémunérée, pour autant qu'il en ait la possibilité effective (consid. 6).</w:t>
      </w:r>
    </w:p>
    <w:p>
      <w:r>
        <w:t>Regesto a Art. 58 cpv. 1, art. 271 lett. a, art. 277 cpv. 1 e art. 296 cpv. 1 e 3 CPC; effetto delle massime processuali applicabili al mantenimento del figlio sul mantenimento tra (ex) coniugi. Le informazioni ottenute in virtù della massima inquisitoria illimitata per il mantenimento del figlio non possono essere semplicemente ignorate per il mantenimento tra (ex) coniugi che va deciso nel medesimo giudizio (consid. 2).</w:t>
      </w:r>
    </w:p>
    <w:p>
      <w:r>
        <w:t>Regesto b Art. 163 CC; calcolo del contributo di mantenimento tra coniugi; obbligatorietà del metodo a due fasi con ripartizione dell'eccedenza. Abbandonato il pluralismo dei metodi, il metodo concreto a due fasi va osservato anche nell'ambito del mantenimento tra coniugi (consid. 4).</w:t>
      </w:r>
    </w:p>
    <w:p>
      <w:r>
        <w:t>Regesto c Art. 163 e 176 cpv. 1 n. 1 CC; esigibilità dell'inizio o della ripresa di un'attività lucrativa in caso di separazione. Se non si può più seriamente contare sulla ripresa della comunione domestica, il coniuge dispensato dal fornire delle prestazioni in natura alla comunione deve in linea di principio sfruttare la sua capacità di lavoro così liberata ed esercitare un'attività lucrativa, nella misura in cui ciò sia effettivamente possibile (consid. 6).</w:t>
      </w:r>
    </w:p>
    <w:p>
      <w:pPr>
        <w:pStyle w:val="Heading2"/>
      </w:pPr>
      <w:r>
        <w:t>Erwägungen</w:t>
      </w:r>
    </w:p>
    <w:p>
      <w:r>
        <w:rPr>
          <w:b/>
        </w:rPr>
        <w:t>E. 2</w:t>
      </w:r>
    </w:p>
    <w:p>
      <w:r>
        <w:t>Die Beschwerdeführerin rügt vorab eine willkürliche Verletzung der Eventualmaxime.</w:t>
      </w:r>
    </w:p>
    <w:p>
      <w:r>
        <w:rPr>
          <w:b/>
        </w:rPr>
        <w:t>E. 2.1</w:t>
      </w:r>
    </w:p>
    <w:p>
      <w:r>
        <w:t>Sie macht geltend, die Offizial- und Untersuchungsmaxime komme nur für den Kindesunterhalt zum Tragen, während für den ehelichen Unterhalt Art. 317 ZPO ohne Einschränkung zur Anwendung gelange. Das Kantonsgericht hätte deshalb die vom Beschwerdegegner erst im Berufungsverfahren eingereichten Unterlagen nicht berücksichtigen dürfen.</w:t>
      </w:r>
    </w:p>
    <w:p>
      <w:r>
        <w:rPr>
          <w:b/>
        </w:rPr>
        <w:t>E. 2.2</w:t>
      </w:r>
    </w:p>
    <w:p>
      <w:r>
        <w:t>Für den im Rahmen des Scheidungsverfahrens festzusetzenden nachehelichen Unterhalt gilt grundsätzlich die Dispositions- und Verhandlungsmaxime ( Art. 58 Abs. 1 und Art. 277 Abs. 1 ZPO ). Der eheliche Unterhalt wird im Rahmen eines Eheschutzverfahrens oder vorsorglicher Massnahmen geltend gemacht; damit unterliegt er zwar ebenfalls der Dispositionsmaxime ( Art. 58 Abs. 1 ZPO ); für die Sachverhaltsfeststellung gilt aber die Untersuchungsmaxime (Art. 271 lit. a i.V.m. Art. 272 sowie Art. 276 Abs. 1 ZPO ), freilich im Sinn der beschränkten bzw. sozialen Untersuchungsmaxime (Urteil 5A_857/2016 vom 8. November 2017 E. 4.3.3, nicht publ. in: BGE 143 III 617 ). In Bezug auf den Kindesunterhalt kommt unabhängig von der Art des Verfahrens stets die Offizialmaxime und die uneingeschränkte Untersuchungsmaxime im Sinn der Erforschungspflicht zur Anwendung ( Art. 296 Abs. 1 und 3 ZPO ). Die strenge Untersuchungsmaxime in Kinderbelangen durchbricht das Novenregime von Art. 317 Abs. 1 ZPO mit der Folge, dass neue Tatsachen und Beweismittel im Berufungsverfahren selbst dann vorgebracht werden können, wenn die Voraussetzungen von Art. 317 Abs. 1 ZPO nicht erfüllt sind ( BGE 144 III 349 E. 4.2.1 S. 352). Das Kantonsgericht hat zutreffend auf die Interdependenz von Kinder- und Ehegattenunterhalt hingewiesen ( BGE 132 III 593 E. 3.2 S. 594; BGE 128 III 411 E. 3.2.1 S. 415). Diese besteht insbesondere bei der zweistufigen Methode, wie sie vorliegend zur Anwendung BGE 147 III 301 S. 304 gelangt (dazu E. 4.3), weil hier das Gesamteinkommen der Ehegatten bzw. Eltern zu ermitteln und dem jeweiligen Bedarf aller Familienmitglieder gegenüberzustellen ist, welcher nach einem bestimmten Schlüssel aus der Verteilung der vorhandenen Mittel gedeckt wird (dazu im Einzelnen BGE 147 III 265 E. 7 S. 279). Die kraft der uneingeschränkten Untersuchungsmaxime für den Kindesunterhalt gewonnenen Erkenntnisse sind mithin auch für den im gleichen Entscheid beurteilten ehelichen oder nachehelichen Unterhalt relevant und lassen sich im Rahmen der vorzunehmenden Gesamtrechnung nicht gewissermassen für diesen ausblenden (vgl. BGE 128 III 411 E. 3.2.2 S. 414 f.; Urteile 5A_361/2011 vom 7. Dezember 2011 E. 5.3.2, in: FamPra.ch 2012 S. 447; 5A_164/2019 vom 20. Mai 2020 E. 5.2.4, nicht publ. in: BGE 146 III 203 ; 5A_67/2020 vom 10. August 2020 E. 3.3.2). Genau dies strebt die Beschwerdeführerin aber explizit an, indem sie für den Kindes- und den ehelichen Unterhalt zwei streng getrennte Betrachtungsweisen zur Anwendung bringen möchte. Indes ist dem Kantonsgericht nach dem Gesagten keine Willkür vorzuwerfen, wenn es die im Zusammenhang mit dem Kindesunterhalt aufgrund von Noven gewonnenen Erkenntnisse auch für den ehelichen Unterhalt fruchtbar gemacht hat. Nur der Vollständigkeit halber sei erwähnt, dass die Beschwerdeführerin entgegen ihren soeben erörterten Vorbringen, das Kantonsgericht hätte die vom Beschwerdegegner neu eingereichten Unterlagen nicht berücksichtigen dürfen, an anderen Stellen ihrer Beschwerde dem Kantonsgericht vorwirft, trotz der anwendbaren Untersuchungsmaxime nicht von sich aus Erhebungen gemacht zu haben (vgl. nicht publ. E. 5.1 und 5.2). (...)</w:t>
      </w:r>
    </w:p>
    <w:p>
      <w:r>
        <w:rPr>
          <w:b/>
        </w:rPr>
        <w:t>E. 4</w:t>
      </w:r>
    </w:p>
    <w:p>
      <w:r>
        <w:t>Als weitere Grundsatzfrage wird sodann geltend gemacht, dass die Anwendung der sog. zweistufig-konkreten Methode bzw. zweistufigen Methode mit Überschussverteilung willkürlich sei.</w:t>
      </w:r>
    </w:p>
    <w:p>
      <w:r>
        <w:rPr>
          <w:b/>
        </w:rPr>
        <w:t>E. 4.1</w:t>
      </w:r>
    </w:p>
    <w:p>
      <w:r>
        <w:t>Das Kantonsgericht hat erwogen, angesichts des auf Fr. 210'000.- gesunkenen Einkommens (zu dessen Bestimmung siehe nicht publ. E. 5) sei davon auszugehen, dass keine Sparquote mehr verbleibe. Vor diesem Hintergrund sei es gerechtfertigt, die Unterhaltsbeiträge nicht mehr nach der konkreten, sondern nach der abstrakten Methode zu berechnen und dabei den sogenannten Halbteilungsgrundsatz anzuwenden. Mithin sei das Gesamteinkommen dem BGE 147 III 301 S. 305 beidseitigen Grundbedarf gegenüberzustellen und ein allfälliger Überschuss aufzuteilen, wobei auch das Kind daran zu beteiligen sei.</w:t>
      </w:r>
    </w:p>
    <w:p>
      <w:r>
        <w:rPr>
          <w:b/>
        </w:rPr>
        <w:t>E. 4.2</w:t>
      </w:r>
    </w:p>
    <w:p>
      <w:r>
        <w:t>Die Beschwerdeführerin hält dies für unzulässig. Sie macht geltend, im ersten Eheschutzverfahren seien die Gerichte durchwegs von der einstufig-konkreten Methode ausgegangen und das Kantonsgericht habe dies damals mit dem "Nettoeinkommen im sechsstelligen Bereich" und mit dem "Vermögen in Millionenhöhe" begründet. Daran habe sich nichts geändert, was im angefochtenen Entscheid in willkürlicher Weise verkannt werde; ein Methodenwechsel im Rahmen des Abänderungsverfahrens komme nicht in Frage.</w:t>
      </w:r>
    </w:p>
    <w:p>
      <w:r>
        <w:rPr>
          <w:b/>
        </w:rPr>
        <w:t>E. 4.3</w:t>
      </w:r>
    </w:p>
    <w:p>
      <w:r>
        <w:t>In langjähriger Rechtsprechung hat das Bundesgericht im gesamten Unterhaltsbereich einen Methodenpluralismus zugelassen und einzig bei Vermischung verschiedener Methoden korrigierend eingegriffen (vgl. BGE 140 III 337 E. 4.2.2 S. 339, BGE 140 III 485 E. 3.3 S. 488; BGE 128 III 411 E. 3.2.2 S. 414 f.). Mit dem in E. 2.2 bereits erwähnten Grundsatzurteil BGE 147 III 265 E. 6.6 S. 278 und E. 7 S. 279 hat es jedoch die Unterhaltsmethodik dahingehend vereinheitlicht, dass im Bereich des Kindesunterhalts (Bar- und Betreuungsunterhalt) die zweistufige Methode anzuwenden ist. Sodann hat es in BGE 147 III 293 E. 4.5 S. 299 festgehalten, dass diese Methode in Zukunft auch im Bereich des nachehelichen Unterhaltes zur Anwendung gelangen soll. Beide Urteile zielen auf eine Umsetzung der in BGE 144 III 481 E. 4.1 S. 485 im Zusammenhang mit dem Betreuungsunterhalt angekündigten schweizweit verbindlichen Vereinheitlichung der Methodik zur Bestimmung des familienrechtlichen Unterhaltes. Das Gesagte schliesst nicht aus, dass in besonderen Situationen, namentlich bei aussergewöhnlich günstigen finanziellen Verhältnissen, anders vorgegangen oder auch ganz von einer konkreten Rechnung abgesehen wird, wobei im Unterhaltsentscheid stets zu begründen ist, aus welchen Gründen gegebenenfalls von der Regel abgewichen wird (vgl. BGE 147 III 265 E. 6.6 S. 278, BGE 147 III 293 E. 4.5 S. 299). Vor diesem Hintergrund ist es nicht willkürlich, wenn das Kantonsgericht der zweistufigen Methode gefolgt ist. Vielmehr wird diese in Zukunft grundsätzlich von allen schweizerischen Gerichten auch im Bereich des ehelichen Unterhaltes anzuwenden sein. Daran ändert jedenfalls unter Willkürgesichtspunkten nichts, dass es vorliegend um die Modifikation eines früheren Entscheides zufolge veränderter Verhältnisse geht und diesem Ausgangsentscheid eine andere Methodik zugrunde lag, zumal keine einschlägige Rüge erhoben wird ( Art. 106 Abs. 2 BGG ; vgl. sodann nicht publ. E. 1). BGE 147 III 301 S. 306 (...)</w:t>
      </w:r>
    </w:p>
    <w:p>
      <w:r>
        <w:rPr>
          <w:b/>
        </w:rPr>
        <w:t>E. 6</w:t>
      </w:r>
    </w:p>
    <w:p>
      <w:r>
        <w:t>Umstritten ist schliesslich, ob der Beschwerdeführerin die Aufnahme einer Erwerbsarbeit zumutbar ist.</w:t>
      </w:r>
    </w:p>
    <w:p>
      <w:r>
        <w:rPr>
          <w:b/>
        </w:rPr>
        <w:t>E. 6.1</w:t>
      </w:r>
    </w:p>
    <w:p>
      <w:r>
        <w:t>Während das Kantonsgericht im seinerzeitigen Eheschutzentscheid vom 20. April 2017 angesichts der konkreten Verhältnisse noch von einer Unzumutbarkeit ausgegangen war, kam es im angefochtenen Entscheid zum umgekehrten Schluss mit der Begründung, dass die Parteien nunmehr seit vier Jahren getrennt leben würden. Es erachtete den beruflichen Einstieg der Beschwerdeführerin in tatsächlicher Hinsicht auch als möglich und ausgehend vom Schulstufenmodell gemäss BGE 144 III 481 sowie vom Umstand, dass sie sich seit der Trennung am 1. Dezember 2015 für eine Erwerbstätigkeit hätte vorbereiten müssen, ab sofort (d.h. ab September 2019) ein Nettoeinkommen von Fr. 3'000.- auf der Basis von 80 % und ab Dezember 2021 ein solches von Fr. 3'750.- bei einem Vollzeiterwerb im Bereich der Hilfspflege als realistisch.</w:t>
      </w:r>
    </w:p>
    <w:p>
      <w:r>
        <w:rPr>
          <w:b/>
        </w:rPr>
        <w:t>E. 6.2</w:t>
      </w:r>
    </w:p>
    <w:p>
      <w:r>
        <w:t>In Bezug auf diese Erwägungen erfolgen keine eigentlichen Willkürrügen, sondern pauschale Aussagen (vgl. dazu bereits nicht publ. E. 5.4), wonach sich der Beschwerdegegner eine glamouröse Vorzeigefrau geschaffen und seine Familie zum Luxus erzogen habe und wonach er Eigentümer einer Hochseeyacht, diverser Fahrzeuge (namentlich von Bentleys, welche nur fiktiv seinen Gesellschaften gehörten), eines grossen Hauses sowie verschiedener Firmen und Renditeliegenschaften sei, so dass für sie als Ehefrau ein sozialer Abstieg ins Arbeitsleben nicht hinzunehmen sei; im ersten Eheschutzentscheid sei die Aufnahme einer Erwerbstätigkeit denn auch nie thematisiert worden. Soweit nicht ohnehin das Güterrecht mit der Unterhaltsfrage vermischt wird, indem vom Vermögen des anderen Ehegatten direkt auf die Unzumutbarkeit eigener Erwerbstätigkeit geschlossen wird, müsste sich die Beschwerdeführerin, damit eine substanziierte Willkürrüge überhaupt in Betracht gezogen werden könnte, konkret mit den Erwägungen des Kantonsgerichtes auseinandersetzen und aufzeigen, inwiefern sie vorher unter dem Titel des Familienunterhaltes in einer Situation gelebt hat, die einen Wechsel des Lebensstils und insbesondere die Aufnahme einer Erwerbstätigkeit schlicht als unzumutbar erscheinen lassen. Dahingehende Vorbringen erfolgen nicht und im Übrigen hält die Beschwerdeführerin selbst fest, dass der Sohn C. eine private Tagesschule besucht. Insofern ist sie während BGE 147 III 301 S. 307 des Tages nicht nur von sämtlichen Erziehungsaufgaben, sondern nach der Aufhebung des gemeinsamen Haushaltes auch von den häuslichen Pflichten zugunsten der Gemeinschaft vollständig entlastet. Das Vorbringen der Beschwerdeführerin, ihr dürfe angesichts der ehelichen Verhältnisse kein sozialer Abstieg zugemutet werden, bleibt wie gesagt appellatorisch. Ohnehin liesse sich in diesem Zusammenhang keine Willkür dartun: Im Rahmen der Scheidung gilt der Vorrang der Eigenversorgung, wonach jeder Ehegatte vorab selbst für seinen Unterhalt aufzukommen hat - wobei die Tatsache allein, dass ein Ehegatte während der Ehe nicht erwerbstätig war, ihn nicht von dieser Obliegenheit entbindet (Urteil 5A_243/2007 vom 28. Januar 2008 E. 9) - und nur subsidiär, wo dies nicht oder nicht umfassend möglich und zumutbar ist, den anderen Ehegatten bei gegebener Leistungsfähigkeit eine zeitlich begrenzte Unterhaltspflicht aufgrund nachehelicher Solidarität trifft ( Art. 125 Abs. 1 ZGB ; BGE 141 III 465 E. 3.1 S. 468 f.; BGE 134 III 145 E. 4 S. 146 f.). Ist in tatsächlicher Hinsicht erstellt, dass mit einer Wiederaufnahme des gemeinsamen Haushaltes nicht mehr ernsthaft gerechnet werden kann, hat das Eheschutzgericht im Rahmen von Art. 163 ZGB die für den nachehelichen Unterhalt geltenden Kriterien von Art. 125 ZGB miteinzubeziehen und aufgrund der neuen Lebensverhältnisse zu prüfen, ob und in welchem Umfang vom Ehegatten, der bisher den gemeinsamen Haushalt geführt hat, davon aber nach dessen Aufhebung entlastet ist, erwartet werden kann, dass er seine Arbeitskraft anderweitig einsetze und eine Erwerbstätigkeit aufnehme oder ausdehne (vgl. BGE 138 III 97 E. 2.2 S. 99; BGE 137 III 385 E. 3.1 S. 386 f.; BGE 130 III 537 E. 3.2 S. 541 f.). Dass eine vorhandene Arbeitskapazität auszuschöpfen ist, entspricht denn auch einem allgemeinen Grundsatz im Unterhaltsrecht (vgl. BGE 143 III 233 E. 3.2 S. 235; BGE 137 III 118 E. 2.3 S. 121; BGE 128 III 4 E. 4a S. 5). Vor diesem Hintergrund ist keine Willkür auszumachen, wenn das Kantonsgericht nach vier Jahren seit der Trennung (stillschweigend) davon ausgegangen ist, dass mit einer Wiederaufnahme des gemeinsamen Haushaltes nicht mehr ernsthaft gerechnet werden könne und der Beschwerdeführerin die Aufnahme einer Erwerbstätigkeit angesichts des fortgeschrittenen Alters des Kindes und dessen ganztägiger schulischen Betreuung zumutbar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