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153</w:t>
      </w:r>
    </w:p>
    <w:p>
      <w:r>
        <w:t>Bundesgericht (BGE), 2021-01-01, IT</w:t>
      </w:r>
    </w:p>
    <w:p>
      <w:r>
        <w:rPr>
          <w:b/>
        </w:rPr>
        <w:t xml:space="preserve">Quelle: </w:t>
      </w:r>
      <w:r>
        <w:t>https://mcp.opencaselaw.ch/entscheid/bge_BGE_147_III_153</w:t>
      </w:r>
    </w:p>
    <w:p>
      <w:r>
        <w:t>FR: ATF 147 III 153</w:t>
      </w:r>
    </w:p>
    <w:p>
      <w:r>
        <w:t>IT: DTF 147 III 153</w:t>
      </w:r>
    </w:p>
    <w:p>
      <w:pPr>
        <w:pStyle w:val="Heading2"/>
      </w:pPr>
      <w:r>
        <w:t>Regeste</w:t>
      </w:r>
    </w:p>
    <w:p>
      <w:r>
        <w:t>Regeste Art. 17 Abs. 1 ZPO; Gerichtsstandsvereinbarung, Culpa in contrahendo. Grundsätze der Auslegung einer Gerichtsstandsvereinbarung (E. 5). Unmöglichkeit, den tatsächlichen übereinstimmenden Parteiwillen festzustellen (E. 6). Objektivierte Auslegung der von den Parteien abgeschlossenen Gerichtsstandsvereinbarungen. Eine Gerichtsstandsvereinbarung, die alle Ansprüche aus den Geschäftsbeziehungen der Parteien erfasst, ist unwirksam. Beschränkt sich eine Gerichtsstandsklausel in einem gekündigten Vertrag hingegen auf Auseinandersetzungen über dessen Zustandekommen und Auflösung sowie die sich daraus ergebenden Rechte und Pflichten, so bezieht sie sich nicht auch auf Streitigkeiten über Ansprüche aus dem Nichtzustandekommen eines neuen Vertrags (E. 7).</w:t>
      </w:r>
    </w:p>
    <w:p>
      <w:r>
        <w:t>Regeste Art. 17 al. 1 CPC; clause de prorogation de for, culpa in contrahendo. Principes applicables en matière d'interprétation d'une clause de prorogation de for (consid. 5). Impossibilité de déterminer la réelle et commune intention des parties (consid. 6). Interprétation objective des clauses de prorogation de for conclues par les parties. Une clause de prorogation de for qui s'étendrait à toutes les prétentions découlant des relations commerciales entre les parties n'est pas valable, tandis que celle contenue dans un contrat résilié et qui vise les différends relatifs à sa formation et à sa résiliation ainsi que les droits et obligations en résultant, ne s'étend pas aux litiges relatifs à la conclusion d'un nouveau contrat (consid. 7).</w:t>
      </w:r>
    </w:p>
    <w:p>
      <w:r>
        <w:t>Regesto Art. 17 cpv. 1 CPC; proroga del foro, culpa in contrahendo. Principi che reggono l'interpretazione di una proroga del foro (consid. 5). Impossibilità di determinare la reale concorde volontà delle parti (consid. 6). Interpretazione oggettiva delle proroghe del foro concluse dalle parti. La proroga del foro prevista per tutti i diritti derivanti dai rapporti commerciali fra le parti non è valida, mentre quella, contenuta in un contratto disdetto e circoscritta alle controversie relative alla sua origine e risoluzione e ai diritti e doveri risultantivi, non si estende anche ai litigi per le pretese derivanti dalla mancata stipula di un nuovo contratto (consid. 7).</w:t>
      </w:r>
    </w:p>
    <w:p>
      <w:pPr>
        <w:pStyle w:val="Heading2"/>
      </w:pPr>
      <w:r>
        <w:t>Volltext</w:t>
      </w:r>
    </w:p>
    <w:p>
      <w:r>
        <w:t>Bundesgericht (BGE) Band III 2021 BGE 147 III 153 Tribunal fédéral (ATF) Volume III 2021 BGE 147 III 153 Tribunale federale (DTF) Volume III 2021 BGE 147 III 153</w:t>
      </w:r>
    </w:p>
    <w:p>
      <w:r>
        <w:t>Regeste Art. 17 Abs. 1 ZPO; Gerichtsstandsvereinbarung, Culpa in contrahendo. Grundsätze der Auslegung einer Gerichtsstandsvereinbarung (E. 5). Unmöglichkeit, den tatsächlichen übereinstimmenden Parteiwillen festzustellen (E. 6). Objektivierte Auslegung der von den Parteien abgeschlossenen Gerichtsstandsvereinbarungen. Eine Gerichtsstandsvereinbarung, die alle Ansprüche aus den Geschäftsbeziehungen der Parteien erfasst, ist unwirksam. Beschränkt sich eine Gerichtsstandsklausel in einem gekündigten Vertrag hingegen auf Auseinandersetzungen über dessen Zustandekommen und Auflösung sowie die sich daraus ergebenden Rechte und Pflichten, so bezieht sie sich nicht auch auf Streitigkeiten über Ansprüche aus dem Nichtzustandekommen eines neuen Vertrags (E. 7). Regeste Art. 17 al. 1 CPC; clause de prorogation de for, culpa in contrahendo. Principes applicables en matière d'interprétation d'une clause de prorogation de for (consid. 5). Impossibilité de déterminer la réelle et commune intention des parties (consid. 6). Interprétation objective des clauses de prorogation de for conclues par les parties. Une clause de prorogation de for qui s'étendrait à toutes les prétentions découlant des relations commerciales entre les parties n'est pas valable, tandis que celle contenue dans un contrat résilié et qui vise les différends relatifs à sa formation et à sa résiliation ainsi que les droits et obligations en résultant, ne s'étend pas aux litiges relatifs à la conclusion d'un nouveau contrat (consid. 7). Regesto Art. 17 cpv. 1 CPC; proroga del foro, culpa in contrahendo. Principi che reggono l'interpretazione di una proroga del foro (consid. 5). Impossibilità di determinare la reale concorde volontà delle parti (consid. 6). Interpretazione oggettiva delle proroghe del foro concluse dalle parti. La proroga del foro prevista per tutti i diritti derivanti dai rapporti commerciali fra le parti non è valida, mentre quella, contenuta in un contratto disdetto e circoscritta alle controversie relative alla sua origine e risoluzione e ai diritti e doveri risultantivi, non si estende anche ai litigi per le pretese derivanti dalla mancata stipula di un nuovo contratto (consid. 7).</w:t>
      </w:r>
    </w:p>
    <w:p>
      <w:r>
        <w:t>Urteilskopf 147 III 153 16. Estratto della sentenza della I Corte di diritto civile nella causa A. AG contro B. SA (ricorso in materia civile) 4A_343/2020 del 9 febbraio 2021 Regeste Art. 17 Abs. 1 ZPO ; Gerichtsstandsvereinbarung, Culpa in contrahendo. Grundsätze der Auslegung einer Gerichtsstandsvereinbarung (E. 5). Unmöglichkeit, den tatsächlichen übereinstimmenden Parteiwillen festzustellen (E. 6). Objektivierte Auslegung der von den Parteien abgeschlossenen Gerichtsstandsvereinbarungen. Eine Gerichtsstandsvereinbarung, die alle Ansprüche aus den Geschäftsbeziehungen der Parteien erfasst, ist unwirksam. Beschränkt sich eine Gerichtsstandsklausel in einem gekündigten Vertrag hingegen auf Auseinandersetzungen über dessen Zustandekommen und Auflösung sowie die sich daraus ergebenden Rechte und Pflichten, so bezieht sie sich nicht auch auf Streitigkeiten über Ansprüche aus dem Nichtzustandekommen eines neuen Vertrags (E. 7). Sachverhalt ab Seite 154 BGE 147 III 153 S. 154 A. A.a Il 26 settembre 2016 la A. AG, importatrice di automobili con sede nel Cantone Zurigo, ha disdetto con effetto al 30 settembre 2018 i contratti di concessionario A., di assistenza A., di agenzia A. e di officina autorizzata A. e C. stipulati con la B. SA, agente da quasi 5 decenni. I contratti contengono la seguente clausola: "Foro competente esclusivo per le controversie relative all'origine e alla risoluzione del presente contratto, così come i diritti e i doveri risultanti dal presente contratto è X.". Nelle condizioni di vendita e fornitura per veicoli nuovi A. e pezzi originali A., che sono degli allegati al contratto di concessionario e al contratto di officina, è invece indicato che "Il luogo della prestazione e dell'adempimento è X. Per tutti gli attuali e futuri diritti derivanti dalla relazione d'affari tra la A. Svizzera e il Concessionario il foro competente è X. La A. Svizzera ha la facoltà di procedere contro il concessionario anche presso ogni altro tribunale competente". A.b Con petizione 23 maggio 2018 la B. SA ha convenuto in giudizio innanzi alla Pretura di Lugano la A. AG, chiedendo che quest'ultima sia condannata a pagarle un risarcimento indicativamente stimato in fr. 5'158'500.- a titolo di indennità per non avere sottoscritto nuovi contratti in sostituzione di quelli disdetti. L'attrice sostiene di avere ricevuto l'assicurazione che il rapporto di affari sarebbe continuato e di avere effettuato importanti investimenti per potere adempiere a quanto previsto dai nuovi contratti. La convenuta ha inoltrato una risposta 5 luglio 2018 limitata alla sola eccezione di incompetenza territoriale da lei sollevata e ha domandato la reiezione della petizione. Le parti hanno proceduto a uno scambio di scritti su tale eccezione. Con decisione 22 gennaio 2019 il Pretore ha confermato la propria competenza territoriale a trattare la vertenza e ha dichiarato la petizione ricevibile. B. La II Camera civile del Tribunale di appello del Cantone Ticino ha respinto con sentenza 25 maggio 2020 un appello presentato dala A. AG. La Corte cantonale ha ritenuto che la proroga di foro contenuta nei contratti disdetti per il mese di settembre 2018 non era applicabile alla presente causa per due motivi. Da un lato, perché BGE 147 III 153 S. 155 l'attrice non fonda le sue pretese su tali contratti, ma sulla culpa in contrahendo e sulla violazione del principio della buona fede. Dall'altro, perché nemmeno un'interpretazione della volontà delle parti giusta l' art. 18 cpv. 1 CO permette di estendere la proroga di foro alla presente fattispecie. C. Con ricorso in materia civile del 25 giugno 2020 la A. AG ha impugnato la sentenza di appello. Sostiene segnatamente, invocando una violazione dell' art. 18 CO , che la Corte cantonale avrebbe omesso di determinare la volontà soggettiva delle parti e proceduto ad un'errata interpretazione oggettiva delle clausole di proroga del foro. La B. SA ha proposto con risposta 24 settembre 2020 la reiezione del ricorso. Il Tribunale federale ha respinto il ricorso. (riassunto) Erwägungen Dai considerandi: 5. Giusta l' art. 17 cpv. 1 CPC le parti possono pattuire il foro per una controversia esistente o futura in materia di pretese derivanti da un determinato rapporto giuridico, salvo che la legge disponga altrimenti. 5.1 Nel diritto svizzero la questione di sapere se le parti hanno concluso un accordo è sottoposta al principio della priorità della volontà soggettiva sulla volontà oggettiva ( DTF 144 III 93 consid. 5.2.1; DTF 123 III 35 consid. 2b). Il giudice deve quindi in un primo tempo ricercare la reale e comune volontà delle parti, se del caso sulla base di indizi. Costituiscono indizi in questo senso non solo il tenore delle dichiarazioni di volontà, ma tutte le circostanze che permettono di scoprire la reale volontà delle parti, sia che si tratti di circostanze anteriori alla conclusione del contratto o dei fatti posteriori alla stessa, in particolare il comportamento ulteriore delle parti che stabilisce quale era all'epoca la concezione dei contraenti. L'apprezzamento di questi indizi concreti da parte del giudice, secondo la sua generale esperienza di vita, costituisce un accertamento di fatto che vincola il Tribunale federale, a meno che sia manifestamente inesatto ( DTF 144 III 93 consid. 5.2.2, con rinvii). Se il giudice non riesce a determinare la volontà reale e comune delle parti - per mancanza di prove o perché quest'ultime non sono concludenti - o se constata che una parte non ha capito la volontà BGE 147 III 153 S. 156 espressa dall'altra quando è stato concluso il contratto, egli deve ricorrere all'interpretazione normativa (o oggettiva) e cioè stabilire la volontà oggettiva delle parti, determinando il senso che, secondo le regole della buona fede, ognuna di esse poteva ragionevolmente dare alle dichiarazioni di volontà dell'altra. Si tratta di un'interpretazione basata sul principio dell'affidamento, che è una questione di diritto che il Tribunale federale esamina liberamente ( DTF 144 III 93 consid. 5.2.3). Per quanto concerne specificatamente le proroghe di foro, la giurisprudenza ha già avuto modo di stabilire che una convenzione di procedura non va, in caso di dubbio, interpretata in maniera restrittiva, ma piuttosto nel senso di un'espressione della volontà delle parti di attribuire al tribunale scelto una competenza generale ( DTF 121 III 495 consid. 5c). Quando in base al suo tenore la clausola di proroga del foro si riferisce in maniera generale a tutti i litigi attinenti al contratto, essa non riguarda unicamente le pretese fondate su tale contratto, ma pure quelle derivanti da atti illeciti, quando questi costituiscono simultaneamente pure una violazione del contratto o se esiste una connessione fra loro e l'oggetto di quest'ultimo (sentenza 4C.142/2006 del 25 settembre 2006 consid. 2). 5.2 Giova in concreto rilevare che la Corte cantonale ha esaminato la volontà dei contraenti seguendo in parte anche la terminologia (interpretazione teologica, storica e sistematica) utilizzata - peraltro anche nel presente gravame - dalla qui ricorrente che va piuttosto riferita, non tanto all'interpretazione di contratti, ma a quella di norme legali ( DTF 146 III 169 consid. 4.2.2 con rinvii). Qui di seguito i considerandi della sentenza impugnata e le censure ricorsuali verranno invece esaminati alla luce dei predetti principi sviluppati dalla giurisprudenza in materia di interpretazione di contratti. 6. 6.1 La Corte cantonale ha ritenuto, invero unicamente alla fine del relativo considerando, che non emerge dagli atti né è stata dimostrata una volontà delle parti di sottoporre alle proroghe di foro tutte le vertenze che le avrebbero coinvolte, incluse quelle future che esulano dal campo di applicazione dei contratti in cui sono contenute. 6.2 Il rimprovero mosso alla Corte cantonale di avere omesso di accertare la reale concorde volontà delle parti e quindi leso il diritto federale (priorità della volontà soggettiva), violando i principi di interpretazione dei contratti (che permettono unicamente la BGE 147 III 153 S. 157 determinazione di un consenso normativo se non è possibile stabilire la volontà soggettiva), si rivela pertanto infondato. Altrettanto infondata si palesa la censura di arbitrio, in cui la ricorrente cita quanto scritto nella replica e cioè che da circa 50 anni le parti hanno sempre concordato - come del resto sarebbe usuale per gli importatori di automobili - quale foro la sua sede. Non è infatti insostenibile non dedurre dalla semplice circostanza che le parti avrebbero per decenni stipulato contratti contenenti una proroga del foro, l'esistenza di una concorde soggettiva volontà di sottoporre pure la disputa inerente alla mancata stipula di nuovi contratti al foro prorogato. 7. 7.1 Procedendo all'interpretazione secondo il principio dell'affidamento, la Corte cantonale ha dapprima ritenuto che i contratti di agenzia, di concessionaria e di officina sono i contratti principali, mentre ha definito marginali quelli di vendita veicoli e ricambi. Ha poi indicato che da un'interpretazione letterale delle clausole - identiche - contenute nei contratti principali risulta che queste si riferiscono unicamente alle controversie derivanti da tali contratti. Ha considerato che anche un'interpretazione sistematica non modifica tale conclusione, poiché avendo utilizzato nei diversi tipi di contratti standard formulazioni distinte, la stessa convenuta ha voluto differenziare a seconda del contenuto degli accordi, ciò che non consente di semplicemente estendere la proroga più ampia prevista nei contratti "marginali". Ha infine indicato che neppure un'interpretazione teleologica permette di discostarsi da quanto emerge dal testo delle proroghe. 7.2 La ricorrente sostiene che le condizioni di vendita veicoli e fornitura pezzi di ricambio sono parte integrante del contratto di concessionaria e contesta che possano essere definiti marginali, atteso che la vendita di automobili costituisce la parte essenziale di tale contratto. La Corte cantonale avrebbe quindi proceduto ad un'errata interpretazione letterale e sistematica, non reputando determinante la proroga di foro più estesa contenutavi. Essa avrebbe pure sbagliato, non avvedendosi che la sentenza del Tribunale cantonale lucernese a cui si era riferita aveva sì escluso l'applicabilità della proroga del foro alle pretese fondate sulla legge contro i cartelli, ma l'aveva riconosciuta per il caso in cui sarebbero state avanzate pretese di risarcimento danni secondo l'art. 41 segg. CO o di indebito arricchimento (art. 63 segg. CO). Nel capitolo dedicato all'interpretazione "teleologica", la ricorrente ricorda che la giurisprudenza BGE 147 III 153 S. 158 rifiuta un'interpretazione restrittiva di una convenzione di procedura e afferma che una proroga del foro non include unicamente vertenze concernenti pretese contrattuali, ma anche quelle derivanti da atti illeciti, inclusa la culpa in contrahendo, nella misura in cui sussiste un collegamento oggettivo con il contratto. Asserisce che i contratti per cui le parti erano in trattative avevano un contenuto identico a quelli che esse avevano già concluso e di cui l'opponente avrebbe lamentato la mancata continuazione, ragione per cui considera che le pretese accampate da quest'ultima sono manifestamente connesse ai contratti che contenevano le proroghe del foro. Afferma infine, quando lamenta l'assenza di un'interpretazione "storica", che durante il cinquantennio in cui le parti avevano avuto relazioni d'affari, gli accordi da loro conclusi avevano sempre previsto una proroga in favore del foro dell'importatore e ritiene che tale circostanza confermi la sua tesi. 7.3 In concreto, come peraltro esplicitamente riconosciuto nel ricorso, le condizioni di vendita e fornitura (che sono state definite contratti marginali nella sentenza impugnata) sono degli allegati al contratto di concessionario. Secondo le regole della buona fede l'opponente non doveva quindi ritenere che la formulazione più ampia in essi contenuta non fosse a loro limitata, ma andava estesa a tutto il rapporto contrattuale. A prescindere da ciò, giova rilevare che è inammissibile prevedere - come pare invece essere stato fatto in tali allegati - una proroga del foro per tutti i litigi derivanti dai rapporti commerciali fra le parti, perché in tal modo fa difetto il requisito di un rapporto giuridico determinato esplicitamente previsto dall' art. 17 cpv. 1 CPC (FABIENNE HOHL, Procédure civile, vol. II, 2 a ed. 2010, pag. 56 n. 209; DANIEL FÜLLEMANN, in: Schweizerische Zivilprozessordnung[ZPO], Kommentar, Brunner/Gasser/Schwander [ed.], 2 a ed. 2016, n. 11 ad art. 17 CPC ; PATRICIA DIETSCHY-MARTENET E ALTRI, in: CPC, Code de procédure civile, 2021, n. 14 ad art. 17 CPC ). Determinante è quindi la proroga prevista negli altri accordi, la quale è però, in base al suo tenore, chiaramente circoscritta alle "controversie relative all'origine e alla risoluzione" del contratto in cui è contenuta, e ai "diritti e doveri risultanti" da questo e non può in buona fede essere capita in modo più esteso. Ciò nemmeno se si considerala lunga durata delle relazioni commerciali fra le parti. Nella fattispecie le pretese fatte valere dall'opponente attengono alla mancata stipula di altri - nuovi - contratti ed esulano quindi da quanto previsto dalla predetta clausola riferita invece al contratto BGE 147 III 153 S. 159 che la include. Trattandosi di pretese derivanti dall'irrealizzata conclusione di un altro contratto, non è nemmeno possibile ritenere che vi sia una connessione tale con le convenzioni in cui la clausola è menzionata da giustificarne la sua applicazione. Non sono di soccorso alla ricorrente neppure gli autori (HEDINGER/HOSTETTLER, in: Kommentar zur Schweizerischen Zivilprozessordnung [ZPO], Sutter-Somm/Hasenböhler/Leuenberger [ed.], 3 a ed. 2016, n. 27 ad art. 17 CPC ; HAAS/SCHLUMPF, in: ZPO, Oberhammer/Domej/Haas[ed.], 2 a ed. 2014, n. 21 ad art. 17 CPC ) che estendono l'applicabilità di una proroga di foro anche ai casi di culpa in contrahendo. Essi paiono essere minoritari e non forniscono spiegazione alcuna per il postulato ampliamento del campo di applicazione.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