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217</w:t>
      </w:r>
    </w:p>
    <w:p>
      <w:r>
        <w:t>Bundesgericht (BGE), 2020-05-18, DE</w:t>
      </w:r>
    </w:p>
    <w:p>
      <w:r>
        <w:rPr>
          <w:b/>
        </w:rPr>
        <w:t xml:space="preserve">Quelle: </w:t>
      </w:r>
      <w:r>
        <w:t>https://mcp.opencaselaw.ch/entscheid/bge_BGE_146_V_217</w:t>
      </w:r>
    </w:p>
    <w:p>
      <w:r>
        <w:t>FR: ATF 146 V 217</w:t>
      </w:r>
    </w:p>
    <w:p>
      <w:r>
        <w:t>IT: DTF 146 V 217</w:t>
      </w:r>
    </w:p>
    <w:p>
      <w:pPr>
        <w:pStyle w:val="Heading2"/>
      </w:pPr>
      <w:r>
        <w:t>Regeste</w:t>
      </w:r>
    </w:p>
    <w:p>
      <w:r>
        <w:t>Regeste Art. 25 Abs. 2 erster Satz ATSG; Rückerstattung unrechtmässig bezogener Leistungen; Auslösung der Verwirkungsfrist. Beruht die unrechtmässige Leistungsausrichtung auf einem Fehler der Verwaltung, wird die einjährige relative Verwirkungsfrist nicht durch das erstmalige unrichtige Handeln der Amtsstelle ausgelöst. Vielmehr ist nach ständiger Rechtsprechung auf jenen Tag abzustellen, an dem das Durchführungsorgan später - beispielsweise anlässlich einer Rechnungskontrolle oder aufgrund eines zusätzlichen Indizes - unter Anwendung der ihm zumutbaren Aufmerksamkeit seinen Fehler hätte erkennen müssen. Im hier zu beurteilenden Fall ist der zweite, fristenrechtlich relevante Fehler der IV-Stelle in der Missachtung von Rz. 2048 des Kreisschreibens des BSV über die Rechtspflege in der AHV, der IV, der EO und der EL zu erblicken. Diese Verwaltungsweisung hätte die IV-Stelle verpflichtet, sowohl die Beschwerde gegen die Rentenaufhebung, als auch den Beschwerdeentscheid des kantonalen Versicherungsgerichts der rentenauszahlenden Ausgleichskasse sofort bekanntzugeben (E. 3.3).</w:t>
      </w:r>
    </w:p>
    <w:p>
      <w:r>
        <w:t>Regeste Art. 25 al. 2, première phrase, LPGA; restitution de prestations indûment touchées; point de départ du délai de péremption. Pour le cas où le versement d'une prestation indue repose sur une erreur de l'administration, le délai de péremption relatif d'un an n'est pas déclenché par le premier acte incorrect de l'office. Au contraire, selon la jurisprudence constante, il commence à courir le jour à partir duquel l'organe d'exécution aurait dû au plus tard reconnaître son erreur - par exemple à l'occasion d'un contrôle des comptes ou sur la base d'un indice supplémentaire - en faisant preuve de l'attention que l'on pouvait raisonnablement exiger de lui. Dans le cas particulier, la seconde erreur de l'office AI, pertinente en matière de délai, est en lien avec le non-respect du ch. 2048 de la Circulaire de l'OFAS sur le contentieux dans l'AVS, l'AI, les APG et les PC. Cette directive administrative aurait obligé l'office AI à communiquer immédiatement à la Caisse de compensation compétente le recours contre l'annulation de la rente aussi bien que le jugement du tribunal cantonal des assurances (consid. 3.3).</w:t>
      </w:r>
    </w:p>
    <w:p>
      <w:r>
        <w:t>Regesto Art. 25 cpv. 2 prima frase LPGA; restituzione di prestazioni percepite indebitamente; decorrenza del termine di perenzione. Se il versamento della prestazione indebita si fonda su un errore dell'amministrazione, il termine di perenzione relativo di un anno non decorre dal primo atto errato dell'ufficio. Per contro, conformemente alla giurisprudenza costante, esso comincia a decorrere dal giorno in cui l'organo di esecuzione avrebbe dovuto al più tardi riconoscere il suo errore - per esempio in occasione di un controllo dei conti o sulla base di un indizio supplementare - dando prova dell'attenzione che si poteva da esso ragionevolmente esigere. Nel caso in rassegna, il secondo errore dell'Ufficio AI, rilevante in materia di termini, consiste nell'inosservanza del n. 2048 della Circolare dell'UFAS sul contenzioso nell'AVS, AI, IPG e PC. Questa direttiva amministrativa avrebbe obbligato l'Ufficio AI a comunicare immediatamente alla Cassa di compensazione competente per il pagamento sia il ricorso contro la soppressione della rendita sia il giudizio del tribunale cantonale delle assicurazioni (consid. 3.3).</w:t>
      </w:r>
    </w:p>
    <w:p>
      <w:pPr>
        <w:pStyle w:val="Heading2"/>
      </w:pPr>
      <w:r>
        <w:t>Erwägungen</w:t>
      </w:r>
    </w:p>
    <w:p>
      <w:r>
        <w:rPr>
          <w:b/>
        </w:rPr>
        <w:t>E. 2.1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S. 24; BGE 140 V 521 E. 2.1 S. 525 mit Hinweisen).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BGE 146 V 217 S. 220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140 V 521 E. 2.1 S. 525; BGE 139 V 6 E. 4.1 S. 8, BGE 139 V 106 E. 7.2.1; je mit Hinweisen).</w:t>
      </w:r>
    </w:p>
    <w:p>
      <w:r>
        <w:rPr>
          <w:b/>
        </w:rPr>
        <w:t>E. 2.2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BGE 139 V 570 E. 3.1 S. 572; BGE 124 V 380 E. 1 S. 382 f.; BGE 122 V 270 E. 5b/aa S. 275;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3</w:t>
      </w:r>
    </w:p>
    <w:p>
      <w:r>
        <w:t>Unter den Verfahrensbeteiligten ist unbestritten, dass der Beschwerdegegner die trotz rechtskräftiger Rentenaufhebung weiterhin ausgerichtete Invalidenrente an sich vollumfänglich zurückzuerstatten hat. Streitig ist einzig, ob die angeführte einjährige Verwirkungsfrist bereits abgelaufen und der Rückforderungsanspruch der Verwaltung demzufolge (weitgehend) erloschen war, als die IV-Stelle ihre (nachträglich widerrufene und berichtigte) Rückerstattungsverfügung vom 30. Januar 2018 erliess.</w:t>
      </w:r>
    </w:p>
    <w:p>
      <w:r>
        <w:rPr>
          <w:b/>
        </w:rPr>
        <w:t>E. 3.1</w:t>
      </w:r>
    </w:p>
    <w:p>
      <w:r>
        <w:t>Die Vorinstanz stellt in für das Bundesgericht verbindlicher Weise fest (nicht publ. E. 1), dass die IV-Stelle ihre Rentenaufhebungsverfügung vom 12. Februar 2013 der Schweizerischen Ausgleichskasse nicht zugestellt hat, obwohl Letztere unter den verschiedenen Empfängern einer Verfügungskopie ausdrücklich und mit dem Vermerk "zum Vollzug" angeführt wurde. Durch diesen ersten Fehler der Verwaltung, der dazu führte, dass die Ausgleichskasse ihre monatliche Auszahlung der Invalidenrente nicht einstellte, wurde die einjährige Verwirkungsfrist allerdings noch nicht ausgelöst (E. 2.2 hiervor). Darin sind sich auch alle Verfahrensbeteiligten einig. Das zweite und somit fristauslösende Fehlverhalten der IV-Stelle BGE 146 V 217 S. 221 erblicken kantonales Gericht und Beschwerdegegner in einer doppelten sorgfaltspflichtwidrigen Unterlassung der kantonalen Amtsstelle. Im Nachgang zu ihrer rentenaufhebenden Verfügung hätte die IV-Stelle gemäss Auffassung der Vorinstanz und des Versicherten nämlich zu prüfen gehabt, ob die Verfügung bei der Schweizerischen Ausgleichskasse auch tatsächlich eingegangen ist ("Quittierungspflicht") und - in der Folge - ob die verfügte Renteneinstellung ordnungsgemäss umgesetzt wurde. Diese zumutbare Kontrolle hätte sich, wiederum nach Auffassung von kantonalem Gericht und Beschwerdegegner, durch Konsultation des Rentenregisters der Zentralen Ausgleichsstelle (ZAS) spätestens Mitte April 2013 mit äusserst geringem Aufwand bewerkstelligen lassen, weshalb die relative einjährige Verwirkungsfrist Ende April 2013 zu laufen begonnen habe und längst verstrichen gewesen sei, als die Durchführungsorgane die unrechtmässige Weiterausrichtung der Rente im Juni 2017 stoppten und anschliessend deren Rückerstattung verlangten.</w:t>
      </w:r>
    </w:p>
    <w:p>
      <w:r>
        <w:rPr>
          <w:b/>
        </w:rPr>
        <w:t>E. 3.2</w:t>
      </w:r>
    </w:p>
    <w:p>
      <w:r>
        <w:t>Im Zusammenhang mit der Zusprechung von Invalidenrenten sind die Aufgaben zwischen IV-Stellen und Ausgleichskassen gesetzlich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Mit Blick auf diese gesetzlichen und die zugehörigen Verordnungsbestimmungen zieht die Beschwerdeführerin zu Recht in Zweifel, dass den IV-Stellen die vorinstanzlich unterstellte "Quittierungs"-, Kontroll- und Überwachungspflicht obliege. Es ist auch keine Verwaltungspraxis ersichtlich, welche von der zuständigen IV-Stelle unmittelbar nach Erlass einer rentenaufhebenden oder -herabsetzenden Verfügung entsprechende Vorkehrungen verlangen würde (vgl. Kreisschreiben des BSV über das Verfahren in der Invalidenversicherung [KSVI], gültig ab 1. Januar 2010; Wegleitung des BSV über die Renten [RWL] in der Eidgenössischen Alters-, Hinterlassenen- und Invalidenversicherung, gültig ab 1. Januar 2003). Ebenso wenig lässt sich solches aus der bisherigen Rechtsprechung ableiten. Im Zusammenhang mit der unrechtmässigen Weiterausrichtung einer Witwerrente an den wiederverheirateten Witwer hat es das Bundesgericht sinngemäss abgelehnt, den Ausgleichskassen eine engmaschigere Abgleichung des zentralen Rentenregisters der ZAS mit den Daten der Zivilstandsbehörden vorzuschreiben ( BGE 139 V 6 E. 5.1 S. 10), obwohl in BGE 146 V 217 S. 222 derartigen Fällen in Übereinstimmung mit den vorinstanzlichen Ausführungen im hier angefochtenen Entscheid "mit einem minimalen Aufwand (...) Schaden im fünf- oder gar sechsstelligen Bereich" abgewendet werden könnte, "weil Rückforderungen in dieser Höhe oft als uneinbringlich abgeschrieben werden müssen".</w:t>
      </w:r>
    </w:p>
    <w:p>
      <w:r>
        <w:rPr>
          <w:b/>
        </w:rPr>
        <w:t>E. 3.3</w:t>
      </w:r>
    </w:p>
    <w:p>
      <w:r>
        <w:t>Die Frage nach der vom Beschwerdegegner postulierten und vom kantonalen Gericht anerkannten Kontroll- und Überwachungspflicht der IV-Stellen braucht im vorliegenden Fall jedoch nicht abschliessend beantwortet zu werden. Denn wie bereits im Sachverhalt erwähnt, waren hier nicht nur der Versicherungsträger und (jedenfalls bei korrektem Ablauf) die Schweizerische Ausgleichskasse als weiteres Durchführungsorgan mit der Rentenaufhebung konfrontiert, sondern in der Folge auch die Gerichtsbehörden. Für die diesbezüglichen Verfahren hat das BSV im Kreisschreiben über die Rechtspflege in der AHV, der IV, der EO und der EL (KSRP), gültig ab 1. Oktober 2005, zuhanden verschiedener Versicherungseinrichtungen Verwaltungsweisungen erlassen. So wird in Rz. 2048 KSRP festgelegt, dass die zuständige, d.h. die verfügende (vgl. Rz. 2044) IV-Stelle oder Ausgleichskasse in AHV/IV-Verfahren vor dem kantonalen Versicherungsgericht dem jeweils anderen Durchführungsorgan die Beschwerde und den Beschwerdeentscheid sofort bekannt gibt. Warum diese Handlungsanweisung im Abschnitt über die AHV/IV-Verfahren vor Bundesgericht (Rz. 2049 ff. KSRP) nicht wiederholt wird, ist unverständlich, kann hier aber offenbleiben. Entscheidend ist, dass die im vorliegenden Verfahren beschwerdeführende IV-Stelle seinerzeit im Prozess vor dem Versicherungsgericht des Kantons St. Gallen betreffend Rentenaufhebung der Schweizerischen Ausgleichskasse weder die vom Versicherten eingereichte Beschwerde, noch den Entscheid des kantonalen Gerichts vom 5. Mai 2015 übermittelt hat. Hätte indes die IV-Stelle die angeführte Verwaltungsweisung befolgt, wäre die Ausgleichskasse allerspätestens schon im Mai 2015 auf die zu Unrecht weiterhin ausbezahlte Invalidenrente aufmerksam gemacht worden und hätte die Rente umgehend stoppen können. In der Missachtung von Rz. 2048 KSRP liegt der zweite Fehler der IV-Stelle, welcher nach der in E. 2.2 hiervor dargelegten Rechtsprechung die einjährige Verwirkungsfrist gemäss Art. 25 Abs. 2 erster Satz ATSG auslöste. Daran ändert nichts, dass bei weisungsgemässem Vorgehen der IV-Stelle im Mai 2015 nicht sie selber, sondern primär die Schweizerische Ausgleichskasse den ursprünglichen Fehler entdeckt hätte. Denn ist - wie hier - für die BGE 146 V 217 S. 223 Festsetzung, Aufhebung und Rückforderung der Invalidenrente das Zusammenwirken von IV-Stelle und Ausgleichskasse nötig, genügt es für den Beginn des Fristenlaufs, wenn die erforderliche Kenntnis über den Rückforderungsanspruch bei einer der zuständigen Durchführungsstellen vorhanden ist (E. 2.1 hiervor in fine). Indem die IV- Stelle in ihrer Beschwerde u.a. betont, dass der vorinstanzliche Entscheid vom 5. Mai 2015 der Ausgleichskasse nicht zugestellt worden sei, beruft sie sich nach dem Gesagten auf einen Umstand, den sie durch eigene Pflichtwidrigkeit selber verursacht hat. Insofern ist dem kantonalen Gericht beizupflichten.</w:t>
      </w:r>
    </w:p>
    <w:p>
      <w:r>
        <w:rPr>
          <w:b/>
        </w:rPr>
        <w:t>E. 3.4</w:t>
      </w:r>
    </w:p>
    <w:p>
      <w:r>
        <w:t>Es stellt sich die Frage nach dem Ablauf der Einjahresfrist. Im Invalidenversicherungsrecht werden die relative einjährige und die absolute fünfjährige Verwirkungsfrist in der Regel durch den Erlass eines Vorbescheids im Sinne von Art. 73 bis IVV (SR 831.201) gewahrt ( BGE 134 V 97 ; BGE 133 V 579 E. 4.3.1 S. 584; BGE 119 V 431 E. 3c S. 434; SVR 2011 IV Nr. 52 S. 155, 8C_699/2010 E. 2). Hier erging ein "Vorbescheid" erst am 17. Oktober 2017. Weil dieser indes, wie die Vorinstanz zutreffend festhält, nicht von der IV-Stelle, sondern von der dafür nicht zuständigen Schweizerischen Ausgleichskasse erlassen wurde ( Art. 57a Abs. 1 IVG ; vgl. E. 3.2 hiervor), bleibt er im vorliegenden Zusammenhang unbeachtlich. Fristenrechtlich massgebend ist demnach die (noch spätere) Rückerstattungsverfügung der IV-Stelle vom 30. Januar 2018. Der Umstand, dass diese Verfügung nachträglich widerrufen und durch die betraglich berichtigte Rückerstattungsverfügung vom 16. März 2018 ersetzt wurde, spielt demgegenüber rechtsprechungsgemäss keine Rolle (SVR 2018 KV Nr. 6 S. 30, 9C_778/2016 E. 5.1 ; 2010 ALV Nr. 4 S. 9, 8C_616/2009 E. 3.2). Die im Mai 2015 ausgelöste einjährige Verwirkungsfrist (E. 3.3 hiervor in fine) war jedenfalls im Zeitpunkt der Rückforderung durch die Verwaltung längst abgelaufen und der Rückerstattungsanspruch hinsichtlich der ab April 2013 unrechtmässig bezogenen Invalidenrenten im Gesamtbetrag von Fr. 191'814.- demzufolge weitgehend, nämlich im Umfang von Fr. 176'442.- erloschen. Etwas anderes gilt nur für die innerhalb eines Jahres vor Erlass der Rückerstattungsverfügung vom 30. Januar 2018 ausgerichteten Rentenbetreffnisse, d.h. diejenigen für die Monate Februar bis Mai 2017: Der diesbezügliche Rückforderungsanspruch in Höhe von insgesamt Fr. 15'372.- konnte solange nicht verwirken, als die einzelnen monatlichen Renten noch gar nicht ausbezahlt waren ( BGE 139 V 6 E. 5.2 in fine S. 11; BGE 122 V 270 E. 5b/bb S. 276; Urteil 9C_454/2012 BGE 146 V 217 S. 224 vom 18. März 2013 E. 7.3, nicht publ. in: BGE 139 V 106 , aber in: SVR 2013 IV Nr. 24 S. 66). Die Beschwerde der IV-Stelle ist mithin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