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231</w:t>
      </w:r>
    </w:p>
    <w:p>
      <w:r>
        <w:t>Bundesgericht (BGE), 2020-07-13, DE</w:t>
      </w:r>
    </w:p>
    <w:p>
      <w:r>
        <w:rPr>
          <w:b/>
        </w:rPr>
        <w:t xml:space="preserve">Quelle: </w:t>
      </w:r>
      <w:r>
        <w:t>https://mcp.opencaselaw.ch/entscheid/bge_BGE_146_IV_231</w:t>
      </w:r>
    </w:p>
    <w:p>
      <w:r>
        <w:t>FR: ATF 146 IV 231</w:t>
      </w:r>
    </w:p>
    <w:p>
      <w:r>
        <w:t>IT: DTF 146 IV 231</w:t>
      </w:r>
    </w:p>
    <w:p>
      <w:pPr>
        <w:pStyle w:val="Heading2"/>
      </w:pPr>
      <w:r>
        <w:t>Regeste</w:t>
      </w:r>
    </w:p>
    <w:p>
      <w:r>
        <w:t>Regeste Art. 429 Abs. 1 lit. c StPO; Anspruch auf Genugtuung bei ungerechtfertigtem Freiheitsentzug. Eine Anhaltung gefolgt von einer Festnahme, die sich auf eine Gesamtdauer von mehr als drei Stunden erstreckt, stellt einen Eingriff in die persönliche Freiheit dar, der Entschädigungsansprüche zur Folge haben kann (Bestätigung der Rechtsprechung; E. 2.3.2). Ein Freiheitsentzug von über 18 ½ Stunden begründet einen Entschädigungsanspruch (E. 2.4). Eine erhebliche Darstellung in den Medien kann auch ohne Namensnennung eine Persönlichkeitsverletzung darstellen. Sie ist grundsätzlich geeignet, einen Entschädigungsanspruch zu begründen (E. 2.6.1), ebenso die Verletzung des Beschleunigungsgebots (E. 2.6.2).</w:t>
      </w:r>
    </w:p>
    <w:p>
      <w:r>
        <w:t>Regeste Art. 429 al. 1 let. c CPP; prétention en réparation du tort moral en cas de privation de liberté injustifiée. Une appréhension suivie d'une arrestation qui s'étendent sur une durée totalisant plus de trois heures constituent une atteinte à la liberté personnelle qui peut donner lieu à une indemnisation (confirmation de la jurisprudence; consid. 2.3.2). Une privation de liberté de plus de 18 heures 30 justifie une prétention en indemnisation (consid. 2.4). Un fort retentissement médiatique, même sans mention du nom de la personne concernée, peut constituer une atteinte à la personnalité. Celle-ci peut en principe donner lieu à une prétention en indemnisation (consid. 2.6.1), à l'instar de la violation du principe de célérité (consid. 2.6.2).</w:t>
      </w:r>
    </w:p>
    <w:p>
      <w:r>
        <w:t>Regesto Art. 429 cpv. 1 lett. c CPP; diritto alla riparazione del torto morale in caso di privazione ingiustificata della libertà. Un fermo seguito da un arresto, la cui durata totale supera tre ore, costituiscono una limitazione della libertà personale che può dar luogo a un indennizzo (conferma della giurisprudenza; consid. 2.3.2). Una privazione della libertà superiore alle 18 ½ ore giustifica un diritto all'indennizzo (consid. 2.4). Un'importante risonanza mediatica può, anche senza menzione dell'identità dell'interessato, costituire una lesione della personalità. In linea di principio è suscettibile di giustificare un diritto all'indennizzo (consid. 2.6.1), come pure la violazione del principio della celerità (consid. 2.6.2).</w:t>
      </w:r>
    </w:p>
    <w:p>
      <w:pPr>
        <w:pStyle w:val="Heading2"/>
      </w:pPr>
      <w:r>
        <w:t>Erwägungen</w:t>
      </w:r>
    </w:p>
    <w:p>
      <w:r>
        <w:rPr>
          <w:b/>
        </w:rPr>
        <w:t>E. 2.1</w:t>
      </w:r>
    </w:p>
    <w:p>
      <w:r>
        <w:t>Der Beschwerdeführer wendet sich gegen die Abweisung seiner Genugtuungsforderung. Zur Begründung führt er zusammengefasst aus, diese sei aufgrund des erlittenen Freiheitsentzugs von knapp 24 Stunden, der Verletzung des Beschleunigungsgebots und der grossen Medienberichterstattung geschuldet. Eine rechtswidrige Haft im Sinne von Art. 431 Abs. 1 StPO und eine Überhaft im Sinne von Art. 431 Abs. 2 StPO lägen nicht vor. Hingegen sei gestützt auf BGE 146 IV 231 S. 233 Art. 429 Abs. 1 lit. c StPO regelmässig eine Genugtuung auszurichten, wenn sich eine beschuldigte Person in Untersuchungs- oder Sicherheitshaft befunden habe. Die vom Bundesgericht in BGE 143 IV 339 erwähnten drei Stunden seien bei weitem überschritten. Ein rechtswidriges und schuldhaftes Verhalten im Sinne von Art. 430 Abs. 1 lit. a StPO werfe die Vorinstanz ihm nicht vor. Indem sie einen Anspruch auf Genugtuung bei einem kurzen Freiheitsentzug nur bejahe, wenn der Freiheitsentzug ohne jeglichen Grund erfolgt sei, verletze sie Bundesrecht. Bei der Bemessung der Genugtuung gelte es zu berücksichtigen, dass er nicht vorbestraft sei. Weiter sei dem Tatvorwurf (einer Beteiligung an einem Übergriff aus homophoben Motiven), der Verletzung des Beschleunigungsgebotes und der extensiven Medienberichterstattung Rechnung zu tragen. Eine Genugtuung von Fr. 500.- nebst Zins könne geradezu als moderat bezeichnet werden.</w:t>
      </w:r>
    </w:p>
    <w:p>
      <w:r>
        <w:rPr>
          <w:b/>
        </w:rPr>
        <w:t>E. 2.2</w:t>
      </w:r>
    </w:p>
    <w:p>
      <w:r>
        <w:t>Die Vorinstanz erwägt, die Festnahme von knapp 24 Stunden sei rechtskonform gewesen und begründe gestützt auf Art. 431 Abs. 1 StPO keinen Anspruch auf Entschädigung. Ein Genugtuungsanspruch wegen besonders schwerer Verletzung der persönlichen Verhältnisse nach Art. 429 Abs. 1 lit. c StPO komme bei einem kurzen Freiheitsentzug einzig in Frage, wenn dieser ohne jeglichen Grund erfolgt sei. Dies sei hier nicht der Fall, nachdem ein begründeter Verdacht auf eine Teilnahme an den Übergriffen bestanden habe. Zudem habe die Medienberichterstattung den Beschwerdeführer nicht geschadet, da sein Name in den Medien nicht genannt worden sei. Schliesslich begründe auch die leichte bis mittlere Verletzung des Beschleunigungsgebots keinen Anspruch auf Genugtuung.</w:t>
      </w:r>
    </w:p>
    <w:p>
      <w:r>
        <w:rPr>
          <w:b/>
        </w:rPr>
        <w:t>E. 2.3.1</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 Der Begriff des Freiheitsentzugs im Sinne von Art. 429 Abs. 1 lit. c StPO muss im Lichte von Art. 51 und Art. 110 Abs. 7 StGB ausgelegt werden. Nach dieser letzten Bestimmung gilt als Untersuchungshaft jede in einem Strafverfahren verhängte Haft, Untersuchungs-, Sicherheits- und Auslieferungshaft ( BGE 143 IV 339 E. 3.2 S. 343). Ein Anspruch auf Genugtuung im Sinne von Art. 429 Abs. 1 lit. c StPO wird mithin regelmässig gewährt, wenn sich die beschuldigte Person BGE 146 IV 231 S. 234 in Untersuchungs- oder Sicherheitshaft befand (Botschaft vom 21. Dezember 2005 zur Vereinheitlichung des Strafprozessrechts, BBl 2006 1329 Ziff. 2.10.3.1). Nebst der Haft können auch eine mit starkem Medienecho durchgeführte Untersuchung, eine sehr lange Verfahrensdauer oder eine erhebliche Präsentation in den Medien eine schwere Verletzung der persönlichen Verhältnisse im Sinne von Art. 429 Abs. 1 lit. c StPO darstellen ( BGE 143 IV 339 E. 3.1 S. 341 f. mit Hinweis). Materiellrechtlich beurteilt sich der Genugtuungsanspruch nach Art. 28a Abs. 3 ZGB und Art. 49 OR ( BGE 143 IV 339 E. 3.1 S. 341; Urteil 6B_1087/2017 vom 18. Januar 2018 E. 1.2; je mit Hinweisen).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141 III 97 E. 11.2 S. 98; BGE 132 II 117 E. 2.2.2 S. 119; je mit Hinweisen). Abzustellen ist auf einen Durchschnittsmassstab (ROLAND BREHM, Berner Kommentar, 4. Aufl. 2013, N. 19a zu Art. 49 OR ). 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143 IV 339 E. 3.1 S. 342 f.; Urteile 6B_1342/2016 vom 12. Juli 2017 E. 4.2; 6B_53/2013 vom 8. Juli 2013 E. 3.2, nicht publ. in: BGE 139 IV 243 ; 4A_373/2007 vom 8. Januar 2008 E. 3.2, nicht publ. in: BGE 134 III 97 ; je mit Hinweisen).</w:t>
      </w:r>
    </w:p>
    <w:p>
      <w:r>
        <w:rPr>
          <w:b/>
        </w:rPr>
        <w:t>E. 2.3.2</w:t>
      </w:r>
    </w:p>
    <w:p>
      <w:r>
        <w:t>Zu einem Entschädigungsanspruch führt nicht erst die vom Zwangsmassnahmengericht angeordnete Untersuchungs- oder Sicherheitshaft, BGE 146 IV 231 S. 235 sondern jeder nicht geringfügige Freiheitsentzug im Strafverfahren (vgl. Art. 430 Abs. 1 lit. c StPO ; NIKLAUS OBERHOLZER, Grundzüge des Strafprozessrechts, 4. Aufl. 2020, Rz. 2334). Eine Anhaltung gefolgt von einer Festnahme, die sich auf eine Gesamtdauer von mehr als drei Stunden erstreckt, stellt einen Eingriff in die Freiheit dar, der zu einer Entschädigung Anlass geben kann. Nicht zu berücksichtigen ist die Dauer einer allfälligen formellen Befragung im Verlaufe dieser Stunden ( BGE 143 IV 339 E. 3.2 S. 344 mit Hinweis). Im Falle einer ungerechtfertigten Inhaftierung erachtet das Bundesgericht grundsätzlich einen Betrag von Fr. 200.- pro Tag als angemessen, sofern nicht aussergewöhnliche Umstände vorliegen, die eine höhere oder geringere Entschädigung rechtfertigen. In einem zweiten Schritt sind auch die Besonderheiten des Einzelfalles zu berücksichtigen wie die Dauer des Freiheitsentzugs, die Auswirkungen des Strafverfahrens auf die betroffene Person und die Schwere der ihr vorgeworfenen Taten etc. (vgl. BGE 143 IV 339 E. 3.1 S. 342; Urteile 6B_984/2018 vom 4. April 2019 E. 5.1; 6B_506/2015 vom 6. August 2015 E. 1.3.1; 6B_53/2013 vom 8. Juli 2013 E. 3.2, nicht publ. in: BGE 139 IV 243 ; je mit Hinweisen).</w:t>
      </w:r>
    </w:p>
    <w:p>
      <w:r>
        <w:rPr>
          <w:b/>
        </w:rPr>
        <w:t>E. 2.4</w:t>
      </w:r>
    </w:p>
    <w:p>
      <w:r>
        <w:t>Der Beschwerdeführer wurde am 28. Juni 2015 um 18.50 Uhr vorläufig festgenommen und am 29. Juni 2015 um 17.00 Uhr auf freien Fuss gesetzt. Seine während der Festnahme durchgeführte Befragung dauerte rund 3 ½ Stunden, womit von einem relevanten Freiheitsentzug von über 18 ½ Stunden auszugehen ist. Hält die Vorinstanz fest, bei einem kurzen Freiheitsentzug komme ein Genugtuungsanspruch gestützt auf Art. 429 Abs. 1 lit. c StPO nur in Frage, wenn der Freiheitsentzug ohne jeglichen Grund erfolgt sei, kann ihr nicht gefolgt werden. Die vorschriftskonforme Festnahme, die sich später als ungerechtfertigt erwies, dauerte hier nicht nur wenige Stunden. Sie stellte wie ausgeführt nach Ablauf von drei Stunden einen Eingriff in die persönliche Freiheit des Beschwerdeführers dar, der Entschädigungsansprüche zur Folge haben kann. Selbst wenn ein solcher Eingriff respektive ein dreistündiger Freiheitsentzug je nach den konkreten Umständen und bis zu einem gewissen Grad entschädigungslos hinzunehmen ist, gilt dies nicht für einen Freiheitsentzug von über 18 ½ Stunden. Dieser ist mit einer polizeilichen Anhaltung, die kurzfristig die Bewegungsfreiheit beeinträchtigt und deshalb keinen Anspruch auf Entschädigung begründet (SCHMID/JOSITSCH, Schweizerische Strafprozessordnung [StPO], BGE 146 IV 231 S. 236 Praxiskommentar, 3. Aufl. 2018, N. 6 zu Art. 430 StPO ), nicht gleichzusetzen. Ebenso wenig ist er vergleichbar mit der grundsätzlich hinzunehmenden entschädigungslosen Verpflichtung, ein- oder zweimal bei einer Gerichtsverhandlung erscheinen zu müssen (Botschaft, a.a.O., 1330 Ziff. 2.10.3.1). Vielmehr hatte der Beschwerdeführer eine Zwangsmassnahme hinzunehmen, die in Intensität und Dauer offensichtlich darüber hinausging. Bei der Beurteilung der Auswirkungen auf seine Persönlichkeit gilt es einem weiteren Moment Rechnung zu tragen. Der Beschwerdeführer stand im Verdacht, beim homophob motivierten Übergriff seiner Kollegen mitbeteiligt gewesen zu sein. Dies wurde ihm denn auch anlässlich seiner Befragung eröffnet ("Es besteht der Verdacht, dass Sie und Ihre Kollegen im Schützenmattpark gezielt nach Homosexuellen suchten, um diese zu provozieren und zu schlagen". Dieser Vorhalt von wesentlicher Schwere rechtfertigt zusammen mit der verhängten Zwangsmassnahme einen Entschädigungsanspruch.</w:t>
      </w:r>
    </w:p>
    <w:p>
      <w:r>
        <w:rPr>
          <w:b/>
        </w:rPr>
        <w:t>E. 2.5</w:t>
      </w:r>
    </w:p>
    <w:p>
      <w:r>
        <w:t>Indem die Vorinstanz einen Anspruch auf Genugtuung verneint, verletzt sie Bundesrecht ( Art. 429 Abs. 1 lit. c StPO ). Die Rüge des Beschwerdeführers ist begründet. Die Vorinstanz wird ihm für den erlittenen Freiheitsentzug eine Genugtuung auszurichten und deren Höhe in pflichtgemässer Ausübung ihres Ermessens festzusetzen haben.</w:t>
      </w:r>
    </w:p>
    <w:p>
      <w:r>
        <w:rPr>
          <w:b/>
        </w:rPr>
        <w:t>E. 2.6.1</w:t>
      </w:r>
    </w:p>
    <w:p>
      <w:r>
        <w:t>Soweit die Vorinstanz festhält, die Medien hätten den Beschwerdeführer nicht namentlich genannt und ihre Berichterstattung habe ihn deshalb in seiner Persönlichkeit nicht verletzt, ist aus prozessökonomischen Gründen Folgendes zu bemerken. Nach der Rechtsprechung des Bundesgerichts ist eine Vorverurteilung von Tatverdächtigen in der Medienberichterstattung je nach Schwere der Rechtsverletzung als Strafzumessungsgrund zu gewichten. Der Beschuldigte hat darzutun, dass die Berichterstattung ihn vorverurteilt hat ( BGE 128 IV 97 E. 3b/aa S. 104 und E. 3b/bb S. 106; Urteil 6B_1110/2014 vom 19. August 2015 E. 4.3, nicht publ. in: BGE 141 IV 329 ). Eine allfällige Vorverurteilung wäre angesichts des Freispruchs bei der Festsetzung der Genugtuung nach Art. 429 Abs. 1 lit. c StPO zu berücksichtigen. Insofern kann eine erhebliche Darstellung in den Medien eine Persönlichkeitsverletzung darstellen. Sie ist deshalb grundsätzlich geeignet, einen Entschädigungsanspruch zu begründen. BGE 146 IV 231 S. 237 Während der Beschwerdeführer verschiedene Medienberichte anführt, hält die Vorinstanz fest, die Medienberichterstattung habe dem Beschwerdeführer nicht geschadet, nachdem er nicht namentlich erwähnt worden sei. Dabei bleibt unklar, welche Berichterstattung nach den vorinstanzlichen Sachverhaltsfeststellungen in den Medien erfolgte. 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S. 245 f. mit Hinweisen). Dies ist im erwähnten Punkt nicht der Fall. Die Vorinstanz wird deshalb prüfen und darlegen müssen, ob und inwiefern der Beschwerdeführer eine negative Publizität in den Medien erfuhr. Diesen trifft eine Mitwirkungspflicht (vgl. Art. 429 Abs. 2 StPO ; Art. 42 Abs. 1 OR ). Der Umstand allein, dass der Beschwerdeführer in den Medien nicht namentlich erwähnt worden sei, schliesst eine Persönlichkeitsverletzung nicht aus.</w:t>
      </w:r>
    </w:p>
    <w:p>
      <w:r>
        <w:rPr>
          <w:b/>
        </w:rPr>
        <w:t>E. 2.6.2</w:t>
      </w:r>
    </w:p>
    <w:p>
      <w:r>
        <w:t>Die Vorinstanz stellt eine leichte bis mittlere Verletzung des Beschleunigungsgebots fest. Relativierend erwägt sie, der Beschwerdeführer habe einzig eine Verurteilung zu einer bedingten Geldstrafe oder zu einer Busse zu befürchten gehabt. Dieser Umstand ist hier ohne Bedeutung. Die mit dem Strafverfahren einhergehende Belastung lag nicht im Strafmass, sondern vielmehr in der Ungewissheit einer möglichen Verurteilung und damit in den erstinstanzlichen Schuldsprüchen der Gehilfenschaft zu verschiedenen Delikten. Darauf braucht nicht näher eingegangen zu werden. Die Vorinstanz wird im Rahmen der Neubeurteilung und des richterlichen Ermessens dieses Kriterium prüfen müssen. Sie wird darzulegen haben, ob die festgestellte Verletzung des Beschleunigungsgebots für die Bemessung des Genugtuungsanspruchs relevant ist oder nicht (zur Verletzung des Beschleunigungsgebots vgl. BGE 143 IV 49 E. 1.8.2 S. 61, BGE 143 IV 373 E. 1.3 f. S. 377 ff.;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