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IV 196</w:t>
      </w:r>
    </w:p>
    <w:p>
      <w:r>
        <w:t>Bundesgericht (BGE), 2020-07-10, DE</w:t>
      </w:r>
    </w:p>
    <w:p>
      <w:r>
        <w:rPr>
          <w:b/>
        </w:rPr>
        <w:t xml:space="preserve">Quelle: </w:t>
      </w:r>
      <w:r>
        <w:t>https://mcp.opencaselaw.ch/entscheid/bge_BGE_146_IV_196</w:t>
      </w:r>
    </w:p>
    <w:p>
      <w:r>
        <w:t>FR: ATF 146 IV 196</w:t>
      </w:r>
    </w:p>
    <w:p>
      <w:r>
        <w:t>IT: DTF 146 IV 196</w:t>
      </w:r>
    </w:p>
    <w:p>
      <w:pPr>
        <w:pStyle w:val="Heading2"/>
      </w:pPr>
      <w:r>
        <w:t>Regeste</w:t>
      </w:r>
    </w:p>
    <w:p>
      <w:r>
        <w:t>Regeste Art. 422 Abs. 1 StPO; Gebühren. Die Gebühren im Sinne von Art. 422 Abs. 1 StPO haben sich nicht an der Höhe der Sanktion zu orientieren (E. 2.2).</w:t>
      </w:r>
    </w:p>
    <w:p>
      <w:r>
        <w:t>Regeste Art. 422 al. 1 CPP; émoluments. Les émoluments au sens de l'art. 422 al. 1 CPP doivent être arrêtés sans égard à la quotité de la sanction (consid. 2.2).</w:t>
      </w:r>
    </w:p>
    <w:p>
      <w:r>
        <w:t>Regesto Art. 422 cpv. 1 CPP; emolumenti. Gli emolumenti ai sensi dell'art. 422 cpv. 1 CPP non devono essere stabiliti in funzione dell'entità della sanzione (consid. 2.2).</w:t>
      </w:r>
    </w:p>
    <w:p>
      <w:pPr>
        <w:pStyle w:val="Heading2"/>
      </w:pPr>
      <w:r>
        <w:t>Erwägungen</w:t>
      </w:r>
    </w:p>
    <w:p>
      <w:r>
        <w:rPr>
          <w:b/>
        </w:rPr>
        <w:t>E. 2.1</w:t>
      </w:r>
    </w:p>
    <w:p>
      <w:r>
        <w:t>Die Beschwerdeführerin rügt, das Äquivalenzprinzip sei verletzt worden. Sie sei mit einer Busse von Fr. 300.- bestraft worden. Die Strafandrohung für den Tatbestand von Art. 90 Abs. 1 SVG laute auf Busse von Fr. 1.- bis Fr. 10'000.-. Im ordentlichen Verfahren sollte eine Busse nicht niedriger als die höchste Ordnungsbusse sein, weshalb der Strafrahmen zwischen Fr. 300.- und Fr. 10'000.- liege. Dieses Spektrum sei mit dem Gebührenrahmen für das Strafbefehlsverfahren gemäss § 15 Abs. 1 des Dekrets über die Verfahrenskosten vom 24. November 1987 (VKD/AG; SAR 221.150) in Beziehung zu setzen. Anhand der ausgesprochenen Strafe sei eine Gebühr von Fr. 710.- übermässig.</w:t>
      </w:r>
    </w:p>
    <w:p>
      <w:r>
        <w:rPr>
          <w:b/>
        </w:rPr>
        <w:t>E. 2.2.1</w:t>
      </w:r>
    </w:p>
    <w:p>
      <w:r>
        <w:t>Gerichtskosten sind Kausalabgaben, weshalb sie dem Kostendeckungs- und Äquivalenzprinzip genügen müssen. Das Kostendeckungsprinzip besagt, dass der Gebührenertrag die gesamten Kosten des betreffenden Verwaltungszweigs nicht oder nur geringfügig übersteigen soll. Das Äquivalenzprinzip konkretisiert das Verhältnismässigkeitsprinzip ( Art. 5 Abs. 2 BV ) und das Willkürverbot ( Art. 9 BV ) für den Bereich der Kausalabgaben. Es bestimmt, dass eine Gebühr nicht in einem offensichtlichen Missverhältnis zum objektiven Wert der Leistung stehen darf und sich in vernünftigen Grenzen halten muss. Der Wert der Leistung bemisst sich nach dem wirtschaftlichen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Es ist nicht notwendig, dass die Gebühren in jedem Fall genau dem Verwaltungsaufwand entsprechen; sie sollen indessen nach sachlich vertretbaren Kriterien bemessen sein und nicht Unterscheidungen treffen, für die keine vernünftigen Gründe ersichtlich sind. Bei der Festsetzung von Verwaltungsgebühren darf deshalb innerhalb eines gewissen Rahmens auch der wirtschaftlichen Situation des Pflichtigen und dessen Interesse am abzugeltenden Akt Rechnung getragen werden. Die Gebühr darf im Übrigen die Inanspruchnahme bestimmter staatlicher Leistungen nicht verunmöglichen oder übermässig erschweren. Bei der Festsetzung der Gerichtsgebühr verfügt das Gericht über einen grossen BGE 146 IV 196 S. 198 Ermessensspielraum. Das Bundesgericht greift in diesen nicht bereits dann ein, wenn sich die Gebühr als unangemessen erweist, sondern nur, wenn das Ermessen über- bzw. unterschritten oder missbraucht und damit Bundesrecht verletzt wird ( BGE 141 I 105 E. 3.3.2 mit Hinweisen).</w:t>
      </w:r>
    </w:p>
    <w:p>
      <w:r>
        <w:rPr>
          <w:b/>
        </w:rPr>
        <w:t>E. 2.2.2</w:t>
      </w:r>
    </w:p>
    <w:p>
      <w:r>
        <w:t>In einem vereinzelten und nicht publizierten Entscheid, auf welchen sich die Beschwerdeführerin beruft, hat das Bundesgericht zusammengefasst erwogen, die Strafbefehlsgebühr bei Geschwindigkeitsüberschreitungen sei in Anwendung des aargauischen Verfahrenskostendekrets anhand der ausgesprochenen Sanktion zu bestimmen. Es hat dabei unter anderem festgehalten, es sei zulässig, wenn sich eine Strafbefehlsgebühr einerseits am erfahrungsgemäss zeitlichen Aufwand orientiere, andererseits aber die Bedeutung des Verfahrens auch unter dem Gesichtspunkt des verhängten Strafmasses im Blick behalte. Im Rahmen einer primär aufwandorientierten Betrachtung könnten unverhältnismässig hohe oder tiefe Gebühren einzelfallweise verhindert werden, wenn das Strafmass als korrektives Bemessungskriterium herangezogen werde. Das Strafmass werde dort gar zum Leitkriterium, wo gleichartige Verstösse ungeachtet unterschiedlicher Schweregrade jeweils standardisiert, ohne Rücksicht auf die konkreten Umstände und mit mehr oder weniger gleichem Aufwand, untersucht und bearbeitet werden. Dies treffe auf den Bereich der Geschwindigkeitsüberschreitungen ausgesprochen zu (Urteil 6B_253/2019 vom 1. Juli 2019 E. 3.6-3.8). In der Lehre wird dieser Entscheid dahingehend kritisiert, dass das strafrechtliche Verschulden allein für die Strafzumessung von Bedeutung ist und sich die Gebühren nach dem Kostendeckungs- und Äquivalenzprinzip richten. Sinn und Zweck der Verfahrenskosten im Strafprozess sei die Abgeltung behördlichen Aufwands, nicht die zusätzliche Bestrafung für ein strafrechtliches Unrecht (NIKLAUS OBERHOLZER, Grundzüge des Strafprozessrechts, 4. Aufl. 2020, Rz. 2245; STEFAN MEICHSSNER, forum poenale 2020 S. 195 ff.). Die Gebühren im Sinne von Art. 422 Abs. 1 StPO dienen ausschliesslich der Deckung des Aufwands im konkreten Straffall. Die Berücksichtigung der Höhe der Sanktion - und damit des Verschuldens - führt zwangsläufig zu einer zusätzlichen Bestrafung, was unzulässig ist und dem Zweck der Gebührenerhebung widerspricht. Am Entscheid 6B_253/2019 vom 1. Juli 2019 kann deshalb nicht festgehalten werden. Ob allenfalls das Verschulden als Höchstgrenze BGE 146 IV 196 S. 199 berücksichtigt werden darf, um Gebühren zu vermeiden, die in keinem Verhältnis zur Schwere der Straftat stehen (in diesem Sinne NIKLAUS OBERHOLZER, Gerichts- und Parteikosten im Strafprozess, in: Gerichtskosten, Parteikosten, Prozesskaution, unentgeltliche Prozessführung, Christian Schöbi [Hrsg.], 2001, S. 35), kann offenbleiben, zumal zwischen dem strafbaren Verhalten der Beschwerdeführerin und der Höhe der Gebühren im vorliegenden Fall kein offensichtliches Missverhältnis besteht. Die Rüge, die Gebühr habe sich an der Sanktion zu orientieren,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