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145</w:t>
      </w:r>
    </w:p>
    <w:p>
      <w:r>
        <w:t>Bundesgericht (BGE), 2020-01-10, DE</w:t>
      </w:r>
    </w:p>
    <w:p>
      <w:r>
        <w:rPr>
          <w:b/>
        </w:rPr>
        <w:t xml:space="preserve">Quelle: </w:t>
      </w:r>
      <w:r>
        <w:t>https://mcp.opencaselaw.ch/entscheid/bge_BGE_146_IV_145</w:t>
      </w:r>
    </w:p>
    <w:p>
      <w:r>
        <w:t>FR: ATF 146 IV 145</w:t>
      </w:r>
    </w:p>
    <w:p>
      <w:r>
        <w:t>IT: DTF 146 IV 145</w:t>
      </w:r>
    </w:p>
    <w:p>
      <w:pPr>
        <w:pStyle w:val="Heading2"/>
      </w:pPr>
      <w:r>
        <w:t>Regeste</w:t>
      </w:r>
    </w:p>
    <w:p>
      <w:r>
        <w:t>Regeste Art. 352 StPO, Art. 42 Abs. 4 StGB; Strafbefehlskompetenz der Staatsanwaltschaft. Die Staatsanwaltschaft darf mit Strafbefehl zusätzlich zu einer bedingten Geldstrafe von 180 Tagessätzen eine Verbindungsbusse aussprechen (E. 2).</w:t>
      </w:r>
    </w:p>
    <w:p>
      <w:r>
        <w:t>Regeste Art. 352 CPP, art. 42 al. 4 CP; compétence du Ministère public en matière d'ordonnance pénale. Le Ministère public peut prononcer par une ordonnance pénale une amende en sus d'une peine pécuniaire avec sursis de 180 jours-amende (consid. 2).</w:t>
      </w:r>
    </w:p>
    <w:p>
      <w:r>
        <w:t>Regesto Art. 352 CPP, art. 42 cpv. 4 CP; competenza del pubblico ministero in materia di decreto d'accusa. Il pubblico ministero può pronunciare con un decreto di accusa, oltre a una pena pecuniaria di 180 aliquote giornaliere condizionalmente sospesa, una multa (consid. 2).</w:t>
      </w:r>
    </w:p>
    <w:p>
      <w:pPr>
        <w:pStyle w:val="Heading2"/>
      </w:pPr>
      <w:r>
        <w:t>Erwägungen</w:t>
      </w:r>
    </w:p>
    <w:p>
      <w:r>
        <w:rPr>
          <w:b/>
        </w:rPr>
        <w:t>E. 2.1</w:t>
      </w:r>
    </w:p>
    <w:p>
      <w:r>
        <w:t>Hat die beschuldigte Person im Vorverfahren den Sachverhalt eingestanden oder ist dieser anderweitig ausreichend geklärt, so erlässt die Staatsanwaltschaft gemäss Art. 352 StPO einen Strafbefehl, wenn sie, unter Einrechnung einer allfälligen zu widerrufenden bedingten Strafe oder bedingten Entlassung, eine der folgenden Strafen für ausreichend hält: a) eine Busse; b) eine Geldstrafe von höchstens 180 Tagessätzen; c) ... ; d) eine Freiheitsstrafe von höchstens 6 Monaten (Abs. 1). Jede dieser Strafen kann mit einer Massnahme nach den Artikeln 66 und 67e-73 StGB verbunden werden (Abs. 2). BGE 146 IV 145 S. 147 Strafen nach Absatz 1 Buchstaben b-d können miteinander verbunden werden, sofern die insgesamt ausgesprochene Strafe einer Freiheitsstrafe von höchstens 6 Monaten entspricht. Eine Verbindung mit Busse ist immer möglich (Abs. 3). Die Vorinstanz hält dafür, in einem Strafbefehl könne zusätzlich zu einer bedingten Geldstrafe von 180 Tagessätzen nur eine wegen einer Übertretung ausgesprochene Busse verhängt werden, nicht jedoch - wie hier - eine Verbindungsbusse nach Art. 42 Abs. 4 StGB . Die Beschwerdeführerin wendet ein, diese Auffassung widerspreche dem klaren Wortlaut sowie Sinn und Zweck von Art. 352 Abs. 3 StPO .</w:t>
      </w:r>
    </w:p>
    <w:p>
      <w:r>
        <w:rPr>
          <w:b/>
        </w:rPr>
        <w:t>E. 2.2</w:t>
      </w:r>
    </w:p>
    <w:p>
      <w:r>
        <w:t>Das Strafgesetzbuch regelt im ersten Teil der allgemeinen Bestimmungen (Art. 1-102) die Verbrechen und Vergehen, im zweiten Teil (Art. 103-109) die Übertretungen. Gemäss Art. 103 StGB sind Übertretungen Taten, die mit Busse bedroht sind. Dem Beschwerdegegner wird keine Übertretung zur Last gelegt. Für fahrlässige Tötung ( Art. 117 StGB ) und grobe Verletzung von Verkehrsregeln ( Art. 90 Abs. 2 SVG ) droht das Gesetz Freiheitsstrafe bis zu drei Jahren oder Geldstrafe an. Es handelt sich somit um Vergehen ( Art. 10 Abs. 3 StGB ). Nach Art. 42 Abs. 1 StGB schiebt das Gericht den Vollzug einer Geldstrafe oder einer Freiheitsstrafe von höchstens zwei Jahren in der Regel auf, wenn eine unbedingte Strafe nicht notwendig erscheint, um den Täter von der Begehung weiterer Verbrechen oder Vergehen abzuhalten. Gemäss Art. 42 Abs. 4 StGB kann eine bedingte Strafe mit einer Busse nach Art. 106 StGB verbunden werden (Verbindungsbusse). Mit der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Drohpotential der BGE 146 IV 145 S. 148 bedingten Geldstrafe zu erhöhen. Dem Verurteilten soll ein Denkzettel verabreicht werden können, um ihm den Ernst der Lage vor Augen zu führen und zugleich zu zeigen, was bei Nichtbewährung droht ( BGE 134 IV 1 E. 4.5. S. 8, BGE 134 IV 60 E. 7.3.1 S. 74 f. mit Hinweisen). Die bedingte Strafe und die Verbindungsbusse müssen in ihrer Summe schuldangemessen sein. Die Verbindungsbusse darf also zu keiner Straferhöhung führen ( BGE 134 IV 1 E. 4.5.2 S. 8, BGE 134 IV 53 E. 5.2 S. 55 f.). Der Verbindungsbusse darf gegenüber der bedingten Strafe nur untergeordnete Bedeutung zukommen. Die Obergrenze beträgt grundsätzlich einen Fünftel ( BGE 135 IV 188 E. 3.3 f. S. 189 ff.; BGE 134 IV 1 E. 4.5.2 S. 8 und E. 6.2 f. S. 16).</w:t>
      </w:r>
    </w:p>
    <w:p>
      <w:r>
        <w:rPr>
          <w:b/>
        </w:rPr>
        <w:t>E. 2.3</w:t>
      </w:r>
    </w:p>
    <w:p>
      <w:r>
        <w:t>Gemäss Art. 352 Abs. 3 StPO ist die Grenze von 6 Monaten bei einer Verbindung mit Busse unbeachtlich. Das bringt der französischsprachige Gesetzeswortlaut deutlicher zum Ausdruck ("Les peines prévues à l'al. 1, let. b à d, peuvent être ordonnées conjointement si la totalité de la peine prononcée n'excède pas une peine privative de liberté de six mois. Une amende peut être infligée en sus."). Art. 352 Abs. 3 Satz 2 StPO unterscheidet nicht zwischen einer Verbindungsbusse bei Verbrechen und Vergehen und einer Busse bei Übertretungen. Im Gegenteil ist nach dieser Bestimmung eine Verbindung mit Busse immer möglich ("Il cumulo con la multa è sempre possibile"). Die Auffassung der Vorinstanz widerspricht somit dem klaren Gesetzeswortlaut.</w:t>
      </w:r>
    </w:p>
    <w:p>
      <w:r>
        <w:rPr>
          <w:b/>
        </w:rPr>
        <w:t>E. 2.4</w:t>
      </w:r>
    </w:p>
    <w:p>
      <w:r>
        <w:t>Das Schrifttum hält einhellig dafür, dass Art. 352 Abs. 3 Satz 2 StPO auch die Verbindungsbusse nach Art. 42 Abs. 4 StGB erfasst, diese also auch zusätzlich ausgesprochen werden kann, wenn die Grenze von 6 Monaten nach Art. 352 Abs. 3 Satz 1 StPO bereits ausgeschöpft ist (FRANZ RIKLIN, in: Basler Kommentar, Schweizerische Strafprozessordnung, 2. Aufl. 2014, N. 8 zu Art. 352 StPO ; CHRISTIAN SCHWARZENEGGER, in: Kommentar zur Schweizerischen Strafprozessordnung, Donatsch und andere [Hrsg.], 2. Aufl. 2014, N. 10 zu Art. 352 StPO ; SCHMID/JOSITSCH, Schweizerische Strafprozessordnung, Praxiskommentar, 3. Aufl. 2018, N. 12 f. zu Art. 352 StPO ; MARC THOMMEN, Kurzer Prozess - fairer Prozess?, 2013, S. 52; JEANNERET/KUHN, Précis de procédure pénale, 2. Aufl. 2018, S. 540 N. 17009 Fn. 15; YVAN JEANNERET, Les procédures spéciales dans le Code de procédure pénale suisse, in: La procédure pénale fédérale, Renate Pfister-Liechti [Hrsg.], 2010, S. 147; MICHAEL DAPHINOFF, Das Strafbefehlsverfahren in der Schweizerischen Strafprozessordnung, BGE 146 IV 145 S. 149 2012, S. 50 f.; ANASTASIA FALKNER, in: Kommentierte Textausgabe zur Schweizerischen Strafprozessordnung, Goldschmid und andere [Hrsg.], 2008, S. 345 f.).</w:t>
      </w:r>
    </w:p>
    <w:p>
      <w:r>
        <w:rPr>
          <w:b/>
        </w:rPr>
        <w:t>E. 2.5</w:t>
      </w:r>
    </w:p>
    <w:p>
      <w:r>
        <w:t>Nach der Rechtsprechung darf vom klaren, d.h. eindeutigen und unmissverständlichen Wortlaut einer Gesetzesbestimmung nur ausnahmsweise abgewichen werden, wenn triftige Gründe dafür bestehen, dass der Wortlaut nicht den wahren Sinn wiedergibt. Solche Gründe können sich aus der Entstehungsgeschichte der Bestimmung, aus ihrem Sinn und Zweck oder aus dem Zusammenhang mit anderen Vorschriften ergeben ( BGE 143 IV 122 E. 3.2.3 S. 125; BGE 140 IV 108 E. 6.4 S. 111 f.; je mit Hinweisen).</w:t>
      </w:r>
    </w:p>
    <w:p>
      <w:r>
        <w:rPr>
          <w:b/>
        </w:rPr>
        <w:t>E. 2.6</w:t>
      </w:r>
    </w:p>
    <w:p>
      <w:r>
        <w:t>Im bundesrätlichen Entwurf zur Schweizerischen Strafprozessordnung war Absatz 3 von Art. 352 (im Entwurf: Art. 355) nicht enthalten (BBl 2006 1498 f.). Absatz 3 wurde im Nationalrat auf Antrag der Kommission diskussionslos in das Gesetz aufgenommen (Sitzung vom 20. Juni 2007; AB 2007 N 1024). Im Ständerat wurde dazu ausgeführt, bei Absatz 3 habe der Nationalrat eine materielle Änderung beschlossen. Gemäss Fassung des Nationalrates könnten Strafen nach Absatz 1 Buchstaben b bis d miteinander kombiniert werden. Voraussetzung dafür sei allerdings, dass die insgesamt ausgesprochene Strafe die sechs Monate Freiheitsstrafe nicht überschreite, dies unter Berücksichtigung einer zu widerrufenden bedingten Strafe. Diese Schranke gelte nicht, wenn zu einer Strafe nach Absatz 1 Buchstaben a bis d (gemeint: b bis d) eine Busse ausgesprochen werde. Auf Empfehlung des Bundesrates habe sich die ständerätliche Kommission dem Nationalrat angeschlossen (Votum Ständerat Wicki). In der Folge nahm der Ständerat Absatz 3 diskussionslos an (Sitzung vom 20. September 2007; AB 2007 S 726). Die Gesetzesmaterialien stützen somit die Auffassung der Vorinstanz nicht. Daraus ergibt sich nicht, dass zwischen einer Verbindungs- und einer Übertretungsbusse zu unterscheiden wäre und der Gesetzgeber seinen Willen in Absatz 3 unzureichend zum Ausdruck gebracht hätte. Die Verbindungsbusse wurde mit Bundesgesetz vom 24. März 2006, in Kraft seit dem 1. Januar 2007, in das Strafgesetzbuch aufgenommen (AS 2006 3539). Dass es sie gibt, war den Räten bei den parlamentarischen Beratungen im Jahr 2007 somit bekannt. Dies spricht dafür, dass der Gesetzgeber mit dem Begriff "Busse" in Art. 352 Abs. 3 Satz 2 StPO auch die Verbindungsbusse erfassen wollte. BGE 146 IV 145 S. 150 Dies bekräftigt Folgendes: Die Strafprozessordnung trat am 1. Januar 2011 in Kraft (AS 2010 1881, 2020). Mit Botschaft vom 4. April 2012 zur Änderung des Strafgesetzbuchs und des Militärstrafgesetzes schlug der Bundesrat die Streichung von Art. 352 Abs. 3 Satz 2 StPO vor; dies, weil er die Verbindungsbusse in Art. 42 Abs. 4 StGB abschaffen und nur noch die Verbindungsgeldstrafe beibehalten wollte (BBl 2012 4754 und 4768). Das Parlament schaffte in der Folge die Verbindungsgeldstrafe ab und behielt die Verbindungsbusse bei. Art. 352 Abs. 3 Satz 2 StPO beliess es unverändert. Dies zeigt, dass diese letztere Bestimmung auf die Verbindungsbusse zugeschnitten ist. Mit der erwähnten Botschaft vom 4. April 2012 wollte der Bundesrat die Strafbefehlskompetenz der Staatsanwaltschaft zudem dahin einschränken, dass diese zwar weiterhin eine bedingte Freiheitsstrafe von höchstens 6 Monaten hätte aussprechen können, eine unbedingte Freiheitsstrafe jedoch nur noch von höchstens 3 Monaten. Der Bundesrat trug damit der zunehmenden Kritik der Lehre am (zu) weiten Anwendungsbereich des Strafbefehlsverfahrens Rechnung (BBl 2012 4754 und 4768). Das Parlament lehnte auch diese Änderung ab. Es teilte die in der Lehre vorgebrachte Kritik somit nicht. Dies spricht zusätzlich gegen eine einschränkende Auslegung von Art. 352 Abs. 3 Satz 2 StPO , erst recht entgegen dem klaren Wortlaut.</w:t>
      </w:r>
    </w:p>
    <w:p>
      <w:r>
        <w:rPr>
          <w:b/>
        </w:rPr>
        <w:t>E. 2.7</w:t>
      </w:r>
    </w:p>
    <w:p>
      <w:r>
        <w:t>Für die unterschiedliche Behandlung der Busse in Art. 352 Abs. 3 StPO gibt es einen Grund. Art. 352 Abs. 1 lit. b StPO lässt eine Geldstrafe von höchstens 180 Tagessätzen zu. Insoweit besteht gemäss Art. 36 Abs. 1 Satz 2 StGB ein Umwandlungssatz. Danach entspricht ein Tagessatz einem Tag Freiheitsstrafe. Ein derartiger Umwandlungssatz war auch bei aArt. 352 Abs. 1 lit. c StPO gegeben, der mit Wirkung ab 1. Januar 2018 aufgehoben wurde. Nach aArt. 352 Abs. 1 lit. c StPO konnte mit einem Strafbefehl auf gemeinnützige Arbeit von höchstens 720 Stunden erkannt werden. Gemäss aArt. 39 Abs. 2 StGB entsprachen vier Stunden gemeinnütziger Arbeit einem Tag Freiheitsstrafe. Bei einer Busse gibt es keinen derartigen Umwandlungssatz (TRECHSEL/BERTOSSA, in: Schweizerisches Strafgesetzbuch, Praxiskommentar, Trechsel/Pieth [Hrsg.], 3. Aufl. 2018, N. 2 zu Art. 106 StGB ; STRATENWERTH/WOHLERS, Schweizerisches Strafgesetzbuch, Handkommentar, 3. Aufl. 2013, N. 3 zu Art. 106 StGB ; anders noch der bis Ende 2006 in Kraft stehende aArt. 49 Abs. 3 StGB, wonach 30 Franken Busse einem Tag Haft entsprachen). Eine BGE 146 IV 145 S. 151 Gesamtsumme, wie sie Art. 352 Abs. 3 Satz 1 StPO vorsieht, kann insoweit deshalb nicht gebildet werden (SCHWARZENEGGER, a.a.O., N. 9 f. zu Art. 352 StPO ). Zwar hätte der Gesetzgeber in Art. 352 Abs. 3 StPO bei der Busse auf die Ersatzfreiheitsstrafe, die gemäss Art. 106 Abs. 2 StGB für den Fall der schuldhaften Nichtbezahlung auszusprechen ist, abstellen können. Hätte er dies gewollt, hätte er Art. 352 Abs. 3 StPO jedoch anders formuliert, etwa wie folgt: "Strafen nach Absatz 1 können miteinander verbunden werden, sofern die insgesamt ausgesprochene Strafe einer Freiheitsstrafe von höchstens 6 Monaten entspricht. Bei der Busse ist insoweit die gemäss Art. 106 Abs. 2 StGB ausgesprochene Ersatzfreiheitsstrafe massgeblich."</w:t>
      </w:r>
    </w:p>
    <w:p>
      <w:r>
        <w:rPr>
          <w:b/>
        </w:rPr>
        <w:t>E. 2.8</w:t>
      </w:r>
    </w:p>
    <w:p>
      <w:r>
        <w:t>Der Zusammenhang mit anderen Bestimmungen spricht gegen die von der Vorinstanz vertretene Auffassung. Gemäss Art. 352 Abs. 2 StPO kann auch eine Geldstrafe von 180 Tagessätzen oder eine Freiheitsstrafe von 6 Monaten mit einer Massnahme nach den Art. 66 und 67e-73 StGB verbunden werden. Hieraus kann sich gegebenenfalls eine erhebliche Zusatzbelastung für den Bestraften ergeben. So verhält es sich etwa bei einem Entzug des Führerausweises für die Dauer von 5 Jahren ( Art. 67e StGB ) oder einer Ersatzforderung ( Art. 71 StGB ), die vom Betroffenen häufig als zusätzliche Strafe empfunden werden. Der Gesetzgeber erachtete die Grenze von 180 Tagessätzen Geldstrafe oder 6 Monaten Freiheitsstrafe also nicht als maximale Sanktion, die den Beschuldigten in einem Strafbefehl treffen kann. Damit ist es folgerichtig, wenn er eine entsprechende Zusatzbelastung auch in Art. 352 Abs. 3 Satz 2 zugelassen hat. Weshalb diese nicht auch die Verbindungsbusse erfassen soll, ist umso weniger einzusehen, als das Gesetz nur eine Art Busse kennt, nämlich jene gemäss Art. 106 StGB . Auch die Verbindungsbusse stellt, wie Art. 42 Abs. 4 StGB ausdrücklich sagt, eine solche Busse dar.</w:t>
      </w:r>
    </w:p>
    <w:p>
      <w:r>
        <w:rPr>
          <w:b/>
        </w:rPr>
        <w:t>E. 2.9</w:t>
      </w:r>
    </w:p>
    <w:p>
      <w:r>
        <w:t>Die Vorinstanz verweist auf die (oben E. 2.2) dargelegte bundesgerichtliche Rechtsprechung. Diese ist hier, wie die Beschwerdeführerin zutreffend vorbringt, nicht einschlägig. Aus der Rechtsprechung ergibt sich nicht, dass die Staatsanwaltschaft in einem Strafbefehl zusätzlich zu einer bedingten Geldstrafe von 180 Tagessätzen keine Verbindungsbusse verhängen kann. Die Aussprechung einer Verbindungsbusse ist vielmehr möglich, sofern diese und die bedingte Strafe in ihrer Summe schuldangemessen sind.</w:t>
      </w:r>
    </w:p>
    <w:p>
      <w:r>
        <w:rPr>
          <w:b/>
        </w:rPr>
        <w:t>E. 2.10</w:t>
      </w:r>
    </w:p>
    <w:p>
      <w:r>
        <w:t>Triftige Gründe dafür, ausnahmsweise vom klaren Wortlaut von Art. 352 Abs. 3 Satz 2 StPO abzuweichen, bestehen demnach nicht. Der angefochtene Beschluss verletzt daher Bundesrecht. BGE 146 IV 145 S. 152 Schlechthin unhaltbar ist es, wenn die Vorinstanz die Nichtigkeit des Strafbefehls vom 11. August 2017 annimmt. Eine fehlerhafte Verfügung ist nichtig, wenn der ihr anhaftende Mangel besonders schwer und offensichtlich oder zumindest leicht erkennbar ist und die Rechtssicherheit durch die Annahme der Nichtigkeit nicht ernsthaft gefährdet wird ( BGE 145 IV 197 E. 1.3.2 S. 201 mit Hinweisen). Von einem offensichtlichen oder leicht erkennbaren schweren Mangel des Strafbefehls vom 11. August 2017 kann keine Rede sein, nachdem dieser dem klaren Gesetzeswortlaut und der einhelligen Lehre entspricht.</w:t>
      </w:r>
    </w:p>
    <w:p>
      <w:r>
        <w:rPr>
          <w:b/>
        </w:rPr>
        <w:t>E. 2.11</w:t>
      </w:r>
    </w:p>
    <w:p>
      <w:r>
        <w:t>Die Beschwerde ist demnach gutzuheissen. Ziffer 1 des Dispositivs des angefochtenen Beschlusses ist aufzuheben und die Sache zur Fortsetzung des Berufungsverfahrens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