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387</w:t>
      </w:r>
    </w:p>
    <w:p>
      <w:r>
        <w:t>Bundesgericht (BGE), 2020-01-01, FR</w:t>
      </w:r>
    </w:p>
    <w:p>
      <w:r>
        <w:rPr>
          <w:b/>
        </w:rPr>
        <w:t xml:space="preserve">Quelle: </w:t>
      </w:r>
      <w:r>
        <w:t>https://mcp.opencaselaw.ch/entscheid/bge_BGE_146_III_387</w:t>
      </w:r>
    </w:p>
    <w:p>
      <w:r>
        <w:t>FR: ATF 146 III 387</w:t>
      </w:r>
    </w:p>
    <w:p>
      <w:r>
        <w:t>IT: DTF 146 III 387</w:t>
      </w:r>
    </w:p>
    <w:p>
      <w:pPr>
        <w:pStyle w:val="Heading2"/>
      </w:pPr>
      <w:r>
        <w:t>Regeste</w:t>
      </w:r>
    </w:p>
    <w:p>
      <w:r>
        <w:t>Regeste Art. 32 Abs. 1, 44 Abs. 1, 97 Abs. 1, 99 Abs. 3, 101, 107 Abs. 1 OR; Banküberweisungen im Namen einer AG; Vollmacht mit Kollektivunterschrift zu zweien oder Zahlungsaufträge per e-banking, welche zu zweien zu visieren sind; Zahlungsmodalität per E-Mail vertraglich nicht vorgesehen; gefälschte Zahlungsaufträge per E-Mail; Klage auf Rückgabe durch die Kundin und zur Verrechnung gebrachter Anspruch auf Schadenersatz der Bank. Ermittlung in drei Schritten wer, die Bank oder die Kundin, im gesetzlichen System den Schaden tragen muss (E. 3). Wegen Verletzung der vereinbarten Zahlungsmodalität und Nichteinhaltung der Kollektivzeichnungsberechtigung zu zweien kein Auftrag der AG. Zahlungsauftrag einer kollektiv zu zweien zeichnungsberechtigten Angestellten der AG, die Opfer eines "Präsidentenbetrugs (CEO-Fraud)" wurde (erster Schritt; E. 4). Risikotransferklausel (zweiter Schritt): keine entsprechende Klausel im konkreten Fall (E. 5). Durch die Bank zur Verrechnung gebrachter Anspruch auf Schadenersatz gegen die Kundin (dritter Schritt): Unterbrechung des Kausalzusammenhangs wegen des schweren Verschuldens der Bank und ihrer Hilfspersonen (E. 6).</w:t>
      </w:r>
    </w:p>
    <w:p>
      <w:r>
        <w:t>Regeste Art. 32 al. 1, 44 al. 1, 97 al. 1, 99 al. 3, 101, 107 al. 1 CO; virements bancaires au nom d'une SA; procuration avec signature collective à deux ou ordres par e-banking à viser à deux; mode de paiement par courriel non prévu conventionnellement; ordres de paiement par courriels falsifiés; action en restitution de la cliente et prétention en dommages-intérêts opposée en compensation par la banque. Détermination, en trois étapes, de celui qui, de la banque ou de la cliente, doit supporter le dommage dans le système légal (consid. 3). Absence de mandat de la SA en raison de la violation du mode de paiement convenu et du non-respect du pouvoir de signature collectif à deux. Ordre passé par une employée de la SA, titulaire de la signature collective à deux et victime d'une "escroquerie au Président" (première étape; consid. 4). Clause de transfert de risque (deuxième étape): absence d'une telle clause en l'espèce (consid. 5). Prétentions en dommages-intérêts contre la cliente opposées en compensation par la banque (troisième étape): interruption du rapport de causalité adéquate en raison de la faute grave de la banque et de ses auxiliaires (consid. 6).</w:t>
      </w:r>
    </w:p>
    <w:p>
      <w:r>
        <w:t>Regesto Art. 32 cpv. 1, 44 cpv. 1, 97 cpv. 1, 99 cpv. 3, 101, 107 cpv. 1 CO; bonifici bancari in nome di una SA; procura con firma collettiva a due o ordine tramite e-banking da vidimare a due; modo di pagamento tramite e-mail non previsto contrattualmente; ordini di pagamento tramite messaggi di posta elettronica falsificati; azione di restituzione della cliente e pretesa di risarcimento danni posta in compensazione dalla banca. Determinazione in tre tappe di colui che, fra la banca o la cliente, deve sopportare il danno nel sistema legale (consid. 3). Assenza di un mandato della SA in ragione della violazione del modo di pagamento convenuto e del mancato rispetto del potere di rappresentanza limitato dalla firma collettiva a due. Ordine impartito da un'impiegata della SA con diritto di firma collettiva a due e vittima di una "truffa del direttore" (prima tappa; consid. 4). Clausola di trasferimento del rischio (seconda tappa): assenza di una tale clausola in concreto (consid. 5). Pretese di risarcimento danni contro la cliente poste in compensazione dalla banca (terza tappa): interruzione del rapporto di causalità adeguata in ragione della colpa grave della banca e dei suoi ausiliari (consid. 6).</w:t>
      </w:r>
    </w:p>
    <w:p>
      <w:pPr>
        <w:pStyle w:val="Heading2"/>
      </w:pPr>
      <w:r>
        <w:t>Erwägungen</w:t>
      </w:r>
    </w:p>
    <w:p>
      <w:r>
        <w:rPr>
          <w:b/>
        </w:rPr>
        <w:t>E. 3.1</w:t>
      </w:r>
    </w:p>
    <w:p>
      <w:r>
        <w:t>Lorsque le demandeur allègue que des versements ou virements ont été exécutés par la banque en dépit du défaut de légitimation du donneur d'ordre ou à la suite de faux non décelés, le juge doit examiner qui, du client ou de la banque, doit supporter le dommage qui en résulte, en procédant en trois étapes. Dans une première étape , sur l'action principale du client en restitution de son avoir non amputé des prélèvements indus ( art. 107 al. 1 CO ), le juge doit examiner si les prélèvements ont été exécutés sur mandat ou sans mandat du client, ce qui présuppose, en cas de représentation du titulaire du compte, de se poser la question des pouvoirs du représentant, respectivement de la ratification des prélèvements par le titulaire. Ce n'est que si les ordres ont été exécutés sans mandat du client que le juge doit examiner, dans une deuxième étape , si le dommage est un dommage de la banque (système légal) ou si, en raison de la conclusion d'une clause de transfert de risque ( Risikotransferklausel ), le dommage est à la charge du client. Ce n'est enfin que lorsque le dommage est subi par la banque, conformément au système légal, que le juge peut encore devoir examiner, dans une troisième étape , si celle-ci peut opposer en compensation à l'action en restitution de son client une prétention en dommages- intérêts pour avoir fautivement contribué à causer ou à aggraver le dommage en violant ses propres obligations ( art. 97 al. 1 CO ; ATF 146 III 121 consid. 2 p. 127 et les arrêts cités).</w:t>
      </w:r>
    </w:p>
    <w:p>
      <w:r>
        <w:rPr>
          <w:b/>
        </w:rPr>
        <w:t>E. 3.2</w:t>
      </w:r>
    </w:p>
    <w:p>
      <w:r>
        <w:t>Dans le système légal, le défaut de légitimation et les faux non décelés font partie des risques inhérents à l'activité bancaire, au même titre que l'insolvabilité du client (GUGGENHEIM/GUGGENHEIM, Les contrats de la pratique bancaire suisse, 5 e éd. 2014, n. 354). Le client dispose d'une action en restitution de ses avoirs (sauf clause de transfert de risque), qui est une action en exécution du contrat BGE 146 III 387 S. 393 ( Erfüllungsklage ; art. 107 al. 1 CO ; TERCIER/PICHONNAZ, Le droit des obligations, 6 e éd. 2019, n. 1230 ss), laquelle n'est pas subordonnée à l'existence d'une faute de la banque. Il ne s'agit pas d'une action en responsabilité pour inexécution contractuelle intentée par le client, laquelle serait subordonnée à l'existence d'une faute de la banque (art. 398 al. 2 et 97 al. 1 CO); il en découle que la banque ne peut pas opposer à l'action en restitution du client une prétention en réduction pour faute concomitante de celui-ci au sens de l' art. 44 al. 1 CO ( ATF 146 III 121 consid. 3.1.2 p. 128; ATF 132 III 449 consid. 2 p. 452; ATF 112 II 450 consid. 3a p. 454; ATF 111 II 263 consid. 1a p. 265; arrêts 4A_379/2016 du 15 juin 2017 consid. 3.2.2; 4A_258/2012 du 8 avril 2013 consid. 7.1, résumé in SZIER 2013 p. 454; 4A_536/2008 du 10 février 2009 consid. 5.2; 4A_438/2007 du 29 janvier 2008 consid. 5.1; 4C.315/2005 du 2 mai 2006 consid. 3.2). Il ne faut donc pas confondre l'action en restitution en cas de versements ou de virements exécutés sans mandat du client, à la suite de défauts de légitimation ou de faux non décelés ( art. 107 al. 1 CO ), avec la responsabilité de la banque pour violation de son devoir de diligence selon l' art. 398 al. 2 CO . Le client ne dispose d'une action en responsabilité contre la banque ( art. 398 al. 2 CO ) que lorsque celle-ci viole fautivement son devoir de diligence, par exemple en n'exécutant pas correctement l'ordre donné, notamment lorsqu'elle se trompe, lors de son exécution, dans la personne du destinataire ou le numéro de compte indiqués par le client ( ATF 126 III 20 consid. 3b/aa p. 22). De même, la banque engage sa responsabilité lorsqu'elle viole ses obligations de diligence et de fidélité dans le cadre d'opérations boursières ( ATF 133 III 97 consid. 7.1 p. 102; arrêt 4A_54/2017 du 29 janvier 2018 consid. 5.1.1).</w:t>
      </w:r>
    </w:p>
    <w:p>
      <w:r>
        <w:rPr>
          <w:b/>
        </w:rPr>
        <w:t>E. 4</w:t>
      </w:r>
    </w:p>
    <w:p>
      <w:r>
        <w:t>Dans une première étape, il faut donc examiner si les virements ont été exécutés par la banque sur ordre (avec mandat) ou sans ordre (sans mandat) de la cliente.</w:t>
      </w:r>
    </w:p>
    <w:p>
      <w:r>
        <w:rPr>
          <w:b/>
        </w:rPr>
        <w:t>E. 4.1</w:t>
      </w:r>
    </w:p>
    <w:p>
      <w:r>
        <w:t>L'argent figurant sur le compte bancaire ouvert au nom du client est la propriété de la banque, envers laquelle le client n'a qu'une créance en restitution. Lorsque la banque vire de l'argent depuis ce compte à un tiers sur ordre (avec mandat) du client, elle acquiert une créance en remboursement contre celui-ci ( art. 402 CO ). A l'action en restitution du client, la banque peut donc opposer en compensation une créance BGE 146 III 387 S. 394 en remboursement ( ATF 146 III 121 consid. 3.1.1 p. 128; arrêts 4A_119/2018 du 7 janvier 2019 consid. 5.2; 4A_379/2016 précité consid. 3.2.1). En revanche, lorsque la banque vire de l'argent depuis ce compte à un tiers sans ordre (sans mandat) du client, elle n'acquiert pas de créance en remboursement. A l'action en restitution du client, la banque ne peut donc pas opposer en compensation une créance en remboursement; elle doit contre-passer l'écriture et l' art. 402 CO n'entre pas en considération ( ATF 146 III 121 consid. 3.1.2 p. 128; arrêts 4A_379/2016 précité consid. 3.2.2; 4A_438/2007 précité consid. 5.1).</w:t>
      </w:r>
    </w:p>
    <w:p>
      <w:r>
        <w:rPr>
          <w:b/>
        </w:rPr>
        <w:t>E. 4.2</w:t>
      </w:r>
    </w:p>
    <w:p>
      <w:r>
        <w:t>Savoir si les virements ont été exécutés sur mandat ou sans mandat du client (titulaire du compte) présuppose, si le client est une personne morale, comme une société anonyme, de se poser la question des pouvoirs de représentation des personnes physiques habilitées à représenter celle-ci.</w:t>
      </w:r>
    </w:p>
    <w:p>
      <w:r>
        <w:rPr>
          <w:b/>
        </w:rPr>
        <w:t>E. 4.2.1</w:t>
      </w:r>
    </w:p>
    <w:p>
      <w:r>
        <w:t>En premier lieu, la SA est représentée à l'égard des tiers par ses organes ( art. 718 CO ). En deuxième lieu, elle peut être représentée par des fondés de procuration et d'autres mandataires commerciaux ( art. 721 CO ), nommés par le conseil d'administration, mais qui n'ont pas la qualité d'organes. Enfin, en troisième lieu, elle peut être représentée par des personnes auxquelles a été conférée la qualité de représentants civils au sens des art. 32 ss CO ( ATF 146 III 37 consid. 5 et 7 p. 41-43 et 45 s.). L'administrateur qui, en vertu des statuts ou du règlement d'organisation de la SA, ne dispose que de la signature collective à deux, ne peut engager la SA par sa seule signature (art. 718 al. 1, 2 e phrase, CO), à moins qu'un pouvoir de représentation civile ( art. 32 ss CO ) pour une affaire déterminée ne lui ait été conféré (arrêt 4A_271/2009 du 3 août 2009 consid. 2.3; pour le gérant d'une Sàrl, cf. arrêt 4A_187/2018 du 21 février 2019 consid. 3.1.1.1). De même, le représentant civil ( art. 32 ss CO ) qui ne dispose que de la signature collective à deux ne peut pas engager la SA par sa seule signature (cf. ATF 146 III 37 consid. 7 p. 45 s.). S'il agit seul, la SA n'est pas liée.</w:t>
      </w:r>
    </w:p>
    <w:p>
      <w:r>
        <w:rPr>
          <w:b/>
        </w:rPr>
        <w:t>E. 4.2.2</w:t>
      </w:r>
    </w:p>
    <w:p>
      <w:r>
        <w:t>Dans les relations avec les banques, les pouvoirs des organes de la SA et les pouvoirs octroyés par celle-ci à des représentants civils sont habituellement consignés sur une formule de procuration préimprimée, rédigée par la banque, signée par les organes de BGE 146 III 387 S. 395 la SA et remise à la banque. La procuration bancaire est soumise aux règles générales des art. 32 ss CO , soit en particulier aux règles des art. 32 al. 1 (en relation avec l' art. 33 al. 2 CO ) et 33 al. 3 CO ( ATF 146 III 121 consid. 3.2.4 p. 131). Cette procuration bancaire contient la signature des personnes autorisées (GUGGENHEIM/GUGGENHEIM, op. cit., n. 1565). La signature vaut comme légitimation de ces personnes, qualifiées, en matière bancaire, de "fondés de procuration" (GUGGENHEIM/GUGGENHEIM, op. cit., n. 1565). Lorsque la banque reçoit une instruction écrite, comme un ordre de virement ( ATF 126 III 20 consid. 3a/aa p. 21 s.; ATF 111 II 263 consid. 1 p. 265), d'une personne qui agit en tant que "fondé de procuration", elle doit être en mesure de vérifier au moyen du document contenant la signature si cette instruction émane bien de la personne désignée par le titulaire du compte, en comparant la signature figurant sur la procuration avec la signature apposée sur l'instruction (GUGGENHEIM/GUGGENHEIM, op. cit., n. 1567). La remise de cette procuration à la banque constitue une communication au tiers au sens de l' art. 33 al. 3 CO . Les parties peuvent également prévoir l'utilisation d'une plateforme électronique (e-banking), laquelle présuppose que le représentant dispose d'un mot de passe. L'utilisation de ce système peut également être subordonnée à l'exigence d'une représentation collective à deux, notamment. Les parties peuvent aussi convenir d'habiliter le client à transmettre des ordres par courriel. Par nature, un tel message ne permet pas une vérification de son authenticité et de l'intégrité de son contenu ( ATF 146 III 326 consid. 6.2.1.2 p. 334; cf. BRACHER, Legitimationsprüfung und Risikotransfer bei E-Mail-Zahlungsaufträgen, SZW 2018 p. 156 ss, 158-159 et les références).</w:t>
      </w:r>
    </w:p>
    <w:p>
      <w:r>
        <w:rPr>
          <w:b/>
        </w:rPr>
        <w:t>E. 4.3</w:t>
      </w:r>
    </w:p>
    <w:p>
      <w:r>
        <w:t>La cour cantonale a qualifié la relation nouée par les parties de contrat de giro bancaire avec convention de compte courant, soumise aux règles du mandat ( ATF 126 III 20 consid. 3a/aa p. 21 s.). Il n'y a pas lieu d'examiner plus avant cette qualification, dès lors que, selon la jurisprudence, il suffit qu'un compte soit ouvert auprès de la banque pour que le client acquière une créance en restitution de son avoir.</w:t>
      </w:r>
    </w:p>
    <w:p>
      <w:r>
        <w:rPr>
          <w:b/>
        </w:rPr>
        <w:t>E. 4.3.1</w:t>
      </w:r>
    </w:p>
    <w:p>
      <w:r>
        <w:t>Il ressort des faits constatés dans l'arrêt attaqué que la comptable a le pouvoir de signer et viser collectivement les ordres de paiement et que le CEO dispose du même pouvoir, la société alléguant BGE 146 III 387 S. 396 elle-même que les deux précités étaient autorisés à signer collectivement à deux pour la représenter dans les relations d'affaires avec la banque. La comptable a été victime d'une "escroquerie au Président". Convaincue d'être en contact avec le CEO de la société et un avocat, elle a pris contact par téléphone avec la banque et discuté avec un employé de celle-ci, qui remplaçait le chargé de relation habituel. Cet employé ne connaissait pas les habitudes de paiement de la société. La comptable lui a présenté la situation comme urgente: elle cherchait à savoir comment passer des ordres de paiement sans utiliser le système G. C'est cet employé qui lui a proposé le procédé suivant: elle, la comptable, lui adresserait un ordre par courriel et le CEO lui confirmerait cet ordre par simple courriel. Un tel mode de paiement n'avait pas été convenu entre la société et la banque. C'est ainsi en se basant sur un appel téléphonique de la comptable du 23 juillet 2014, suivi d'un courriel de celle-ci contenant un ordre de paiement, lequel a été suivi d'un courriel séparé confirmant cet ordre, qui n'émanait pas du vrai CEO mais d'un escroc, que le premier virement a été exécuté par la banque. Les deux ordres des 25 juillet 2014 et 29 juillet 2014 ont également été donnés par un courriel de la comptable, contenant les informations nécessaires aux transferts, et par un courriel séparé de confirmation du soi-disant CEO.</w:t>
      </w:r>
    </w:p>
    <w:p>
      <w:r>
        <w:rPr>
          <w:b/>
        </w:rPr>
        <w:t>E. 4.3.2</w:t>
      </w:r>
    </w:p>
    <w:p>
      <w:r>
        <w:t>On se trouve donc en présence d'ordres de paiement exécutés en violation du mode de procéder convenu (ordres par signature colective à deux ou saisis et visés collectivement à deux par G.) entre la société et la banque. En tant qu'elle soutient que la signature du formulaire pour la transmission d'ordres par courriel n'était pas nécessaire, vu que l'art. 4 des conditions générales n'exclut pas, de façon générale, l'utilisation du courrier électronique, la banque recourante se limite à des critiques appellatoires, sans démonstration de l'arbitraire de l'appréciation de la cour cantonale, et donc irrecevables. La comptable ne pouvait pas à elle seule engager la société, puisqu'elle ne disposait que d'un pouvoir collectif à deux. Les courriels de confirmation ont été envoyés par le soi-disant CEO et n'ont été ni précédés, ni suivis d'une conversation téléphonique avec le vrai CEO. On se trouve donc bien en présence de trois ordres de paiement exécutés sans mandat de la société cliente. Il n'est donc pas nécessaire de s'interroger sur la question de la forme que doivent BGE 146 III 387 S. 397 revêtir les signatures des personnes autorisées. En conséquence, la cliente dispose bien d'une action en restitution contre la banque, qui ne peut lui opposer de prétentions en remboursement au sens de l' art. 402 CO .</w:t>
      </w:r>
    </w:p>
    <w:p>
      <w:r>
        <w:rPr>
          <w:b/>
        </w:rPr>
        <w:t>E. 4.3.3</w:t>
      </w:r>
    </w:p>
    <w:p>
      <w:r>
        <w:t>Dans cette première étape, une faute de la banque n'entre pas en considération. C'est donc à tort que la cour cantonale a admis une convergence de l'action en restitution et de l'action en responsabilité contre la banque ( art. 398 al. 2 CO ).</w:t>
      </w:r>
    </w:p>
    <w:p>
      <w:r>
        <w:rPr>
          <w:b/>
        </w:rPr>
        <w:t>E. 5</w:t>
      </w:r>
    </w:p>
    <w:p>
      <w:r>
        <w:t>Dans une deuxième étape, il faut examiner si le dommage occasionné par les ordres de virement exécutés sans mandat est à la charge de la banque (système légal) ou, si, en raison de la conclusion d'une clause de transfert de risque, il est à la charge du client.</w:t>
      </w:r>
    </w:p>
    <w:p>
      <w:r>
        <w:rPr>
          <w:b/>
        </w:rPr>
        <w:t>E. 5.1</w:t>
      </w:r>
    </w:p>
    <w:p>
      <w:r>
        <w:t>Dans le système légal, le dommage découlant du paiement exécuté sans mandat par la banque est un dommage de celle-ci, non du client ( ATF 146 III 121 consid. 2 p. 127; ATF 132 III 449 consid. 2 p. 452). En effet, comme on l'a vu, le défaut de légitimation ou l'existence de faux non décelés font partie des risques inhérents à l'activité bancaire, au même titre que l'insolvabilité du client, incombant naturelement à la banque (cf. consid. 3.2 ci-dessus). La banque subit un dommage car, ayant payé à un non-créancier, elle est tenue de payer une seconde fois le montant, au client, conformément aux principes généraux applicables en matière d'exécution des obligations ( art. 68 ss CO ; ATF 112 II 450 consid. 3a p. 454).</w:t>
      </w:r>
    </w:p>
    <w:p>
      <w:r>
        <w:rPr>
          <w:b/>
        </w:rPr>
        <w:t>E. 5.2</w:t>
      </w:r>
    </w:p>
    <w:p>
      <w:r>
        <w:t>Les parties peuvent toutefois déroger à la réglementation légale du risque de défaut de légitimation ou de faux non décelés, en adoptant une clause de transfert de risque ( Risikotransferklausel ; ATF 132 III 449 consid. 2 p. 452; ATF 112 II 450 consid. 3a p. 454-456; arrêts 4A_379/2016 précité consid. 3.3; 4A_54/2009 du 20 avril 2009 consid. 1; 4A_438/2007 précité consid. 5.1; 4C.315/2005 précité consid. 4-6; 4C.357/2000 du 8 mai 2001 consid. 3, in SJ 2001 I p. 583). Ainsi, il est fréquent que les conditions générales des banques, auxquelles le client adhère, comportent une telle clause, laquelle prévoit, généralement, que le dommage résultant de défauts de légitimation ou de faux non décelés est à la charge du client, sauf en cas de faute grave de la banque (GUGGENHEIM/GUGGENHEIM, op. cit., n. 339). Par l'effet de cette clause, le risque normalement supporté par la banque est ainsi reporté sur le client ( ATF 146 III 326 consid. 6.1. p. 332; 132 III 449 consid. 2 p. 452; ATF 122 III 26 consid. 4a p. 32; ATF 112 II 450 consid. 3a p. 454; arrêts 4A_161/2020 du 6 juillet BGE 146 III 387 S. 398 2020 consid. 5.1.1; 4A_379/2016 précité consid. 3.3; 4A_119/2018 du 7 janvier 2019 consid. 3.1; pour des critiques au sujet de cette clause de transfert de risque, cf. GAUCH, Die Vertragshaftung der Banken und ihre AVB, recht 2006 p. 77 ss, 79; BUCHER, Wie lange noch Belastung des Kunden mit den Fälschungsrisiken im Bankenverkehr?, recht 1997 p. 41 ss, 42-43).</w:t>
      </w:r>
    </w:p>
    <w:p>
      <w:r>
        <w:rPr>
          <w:b/>
        </w:rPr>
        <w:t>E. 5.3</w:t>
      </w:r>
    </w:p>
    <w:p>
      <w:r>
        <w:t>En l'espèce, en vertu de l'art. 1 des conditions générales de la banque (intitulé "Examen de la légitimation"), celle-ci est tenue de vérifier la légitimation du client et de ses mandataires avec la diligence usuelle en affaires et supporte le dommage qui résulte d'un tel défaut si elle, ses collaborateurs ou ses auxiliaires ne respectent pas cette obligation. Par cette clause, comme l'a retenu la cour cantonale, les parties n'ont pas convenu d'une clause de transfert de risque sur la tête du client. La banque recourante ne le conteste pas. C'est donc la banque qui subit le dommage.</w:t>
      </w:r>
    </w:p>
    <w:p>
      <w:r>
        <w:rPr>
          <w:b/>
        </w:rPr>
        <w:t>E. 6</w:t>
      </w:r>
    </w:p>
    <w:p>
      <w:r>
        <w:t>Dans une troisième étape enfin, puisque le système légal est applicable, faute de dérogation par clause de transfert de risque (cf. consid. 5 ci-dessus), il faut examiner si la banque dispose d'une prétention en dommages-intérêts contre la cliente qu'elle pourrait opposer en compensation à la créance en restitution de celle-ci.</w:t>
      </w:r>
    </w:p>
    <w:p>
      <w:r>
        <w:rPr>
          <w:b/>
        </w:rPr>
        <w:t>E. 6.1</w:t>
      </w:r>
    </w:p>
    <w:p>
      <w:r>
        <w:t>Selon la jurisprudence, la banque qui subit le dommage du fait de l'exécution d'un paiement sans mandat peut tout au plus demander des dommages-intérêts à son client si celui-ci a fautivement contribué à causer ou à aggraver le dommage qu'elle a ainsi subi (art. 97 al. 1 et/ou art. 41 al. 1 CO ; ATF 111 II 263 consid. 1c et 2a p. 265-267; arrêts 4A_119/2018 précité consid. 5.2; 4A_379/2016 précité consid. 3.2.2; 4A_258/2012 précité consid. 7.1; 4A_54/2009 précité consid. 1; 4A_438/2007 précité consid. 5.1). Il s'agit là d'une "action" en responsabilité de la banque contre son client, fondée principalement sur l' art. 97 al. 1 CO , que la banque oppose en compensation à l'action en restitution de l'avoir en compte introduite par le client ( ATF 146 III 121 consid. 5.1 p. 135; arrêts 4A_119/2018 et 4A_379/2016 précités loc. cit.).</w:t>
      </w:r>
    </w:p>
    <w:p>
      <w:r>
        <w:rPr>
          <w:b/>
        </w:rPr>
        <w:t>E. 6.2</w:t>
      </w:r>
    </w:p>
    <w:p>
      <w:r>
        <w:t>La responsabilité de l' art. 97 al. 1 CO , qui repose ici sur le rapport juridique noué entre les parties, est soumise à quatre conditions: la violation du contrat, le dommage, le rapport de causalité (naturelle et adéquate) entre la violation contractuelle et le dommage, ainsi que la faute. BGE 146 III 387 S. 399 Il faut donc que le client viole ses obligations contractuelles (première condition). Tel est notamment le cas lorsque le client ou les auxiliaires dont le comportement lui est imputable ( art. 101 CO ) ont, d'une manière ou d'une autre, contribué à causer le dommage parce qu'ils ont incité la banque à procéder au transfert indu ou parce qu'ils ont contribué à aggraver le dommage ( ATF 146 III 121 consid. 5.1 p.135 et les arrêts cités). Le dommage (deuxième condition) que la banque subit dans le système légal correspond au montant que celle-ci doit payer une seconde fois au client, en raison du transfert qu'elle a exécuté sans mandat de celui-ci (cf. consid. 5.1 ci-dessus). Le non-respect de ses obligations contractuelles par le client doit causer le dommage ou en entraîner l'aggravation (troisième condition). Enfin, la violation par le client (ou ses auxiliaires) de ses obligations contractuelles est présumée fautive (quatrième condition).</w:t>
      </w:r>
    </w:p>
    <w:p>
      <w:r>
        <w:rPr>
          <w:b/>
        </w:rPr>
        <w:t>E. 6.3</w:t>
      </w:r>
    </w:p>
    <w:p>
      <w:r>
        <w:t>Dans le cadre de l'examen de cette prétention en dommages-intérêts de la banque, opposable en compensation, le juge devra encore examiner la faute de la banque (qui ne jouait pas de rôle dans les deux premières étapes; cf. consid. 3.2 ci-dessus), au titre de sa faute concomitante, soit comme facteur d'interruption du rapport de causalité adéquate, soit comme facteur de réduction de l'indemnité qui lui serait due.</w:t>
      </w:r>
    </w:p>
    <w:p>
      <w:r>
        <w:rPr>
          <w:b/>
        </w:rPr>
        <w:t>E. 6.3.1</w:t>
      </w:r>
    </w:p>
    <w:p>
      <w:r>
        <w:t>Selon la jurisprudence rendue en matière de responsabilité délictuelle, applicable à la responsabilité contractuelle par le renvoi de l' art. 99 al. 3 CO , le comportement du lésé ne peut, normalement, interrompre le rapport de causalité adéquate entre le dommage et le comportement de l'auteur, même si la faute du lésé est plus importante que celle de l'auteur du dommage. Même si d'autres causes aparaissent à côté de la cause originelle et la font passer à l'arrière-plan, celle-ci reste dans un rapport de causalité adéquate, du moins aussi longtemps qu'elle peut être considérée comme significative dans le cours des événements et qu'il n'existe pas d'autre cause s'écartant du cours normal des choses ou absurde au point que l'on ne pouvait compter avec sa survenance. C'est l'intensité des deux rapports de causalité qui est déterminante. Si l'un d'eux s'impose, après examen, avec une telle intensité qu'il écarte pour ainsi dire l'autre et lui enlève toute signification apparente, on admet alors qu'il y a BGE 146 III 387 S. 400 rupture de cet autre lien ( ATF 130 III 182 consid. 5.4 p. 188; ATF 16 II 519 consid. 4b p. 524; WERRO, La responsabilité civile, 3 e éd. 2017, n. 275). Autrement dit, dans l'examen de cette prétention en dommages-intérêts de la banque, la faute concomitante de celle-ci ne libère le client qui a fautivement violé ses obligations contractuelles que si cette faute est si grave qu'elle fait apparaître comme lointaines et juridiquement sans importance les violations contractuelles du client ayant contribué au dommage.</w:t>
      </w:r>
    </w:p>
    <w:p>
      <w:r>
        <w:rPr>
          <w:b/>
        </w:rPr>
        <w:t>E. 6.3.2</w:t>
      </w:r>
    </w:p>
    <w:p>
      <w:r>
        <w:t>La faute concomitante du lésé constitue un facteur de réduction de l'indemnité ( art. 44 al. 1 CO , par renvoi de l' art. 99 al. 3 CO ) lorsqu'elle n'est pas grave au point d'interrompre le lien de causalité adéquate, mais qu'elle a contribué dans une mesure importante à créer ou à aggraver le dommage alors que l'on aurait pu attendre raisonnablement de tout tiers se trouvant dans la même situation qu'il prenne des mesures de précaution, susceptibles d'écarter ou de réduire le dommage (arrêt 4A_124/2007 du 23 novembre 2007 consid. 5.4.1). La réduction se mesure en tenant compte de la gravité de la faute concomitante du lésé ou de ses auxiliaires ( art. 101 CO ) ( ATF 130 III 591 consid. 5.2 p. 600 s.) par rapport à la faute de l'auteur. Autrement dit, dans l'examen de la prétention en dommages-intérêts de la banque, il s'agit d'apprécier la gravité de la faute concomitante de la banque et de ses auxiliaires ( art. 101 CO ) par rapport à la faute du client.</w:t>
      </w:r>
    </w:p>
    <w:p>
      <w:r>
        <w:rPr>
          <w:b/>
        </w:rPr>
        <w:t>E. 6.3.3</w:t>
      </w:r>
    </w:p>
    <w:p>
      <w:r>
        <w:t>En ce qui concerne la vérification par la banque de l'authenticité des ordres de paiement ou de virement qui lui sont adressés, il est admis que celle-ci doit procéder selon les modalités convenues entre les parties ou, le cas échéant, spécifiées par la loi.</w:t>
      </w:r>
    </w:p>
    <w:p>
      <w:r>
        <w:rPr>
          <w:b/>
        </w:rPr>
        <w:t>E. 6.3.3.1</w:t>
      </w:r>
    </w:p>
    <w:p>
      <w:r>
        <w:t>Comme on l'a vu, les pouvoirs des organes de la SA et les pouvoirs octroyés par celle-ci à des représentants civils ( art. 32 ss CO ) sont habituellement consignés sur une formule de procuration préimprimée. Lorsque cette procuration bancaire prévoit la signature collective à deux, l'ordre de paiement n'est valable que s'il est donné par deux personnes autorisées (cf. consid. 4.2.1 ci-dessus).</w:t>
      </w:r>
    </w:p>
    <w:p>
      <w:r>
        <w:rPr>
          <w:b/>
        </w:rPr>
        <w:t>E. 6.3.3.2</w:t>
      </w:r>
    </w:p>
    <w:p>
      <w:r>
        <w:t>En matière de vérification des signatures, il est admis que la banque n'a pas à prendre de mesures extraordinaires, incompatibles avec une liquidation rapide des opérations, et elle n'a pas à BGE 146 III 387 S. 401 systématiquement présumer l'existence d'un faux ( ATF 111 II 263 consid. 2b p. 268; cf. également ATF 122 III 26 consid. 4a/aa p. 32; arrêt 4A_438/2007 précité consid. 5.3). Elle ne doit procéder à des vérifications supplémentaires que s'il existe des indices sérieux d'une falsification, si l'ordre ne porte pas sur une opération prévue par le contrat ni habituellement demandée ou encore si des circonstances particulières suscitent le doute ( ATF 132 III 449 consid. 2 p. 453; ATF 116 II 459 consid. 2a p. 461 s.; arrêts 4A_386/2016 du 5 décembre 2016 consid. 2.2.6; 4A_230/2008 du 27 mars 2009 consid. 4.1.2; 4A_438/2007 précité consid. 5.3). La jurisprudence a notamment retenu une faute grave de la banque lorsque deux ordres, qui étaient supposés émaner de personnes différentes, présentaient les mêmes fautes d'orthographe et portaient des signatures présentant des différences par rapport aux signatures de référence déposées à la banque, différences décelables au premier coup d'oeil (arrêt 4A_438/2007 précité consid. 5.5).</w:t>
      </w:r>
    </w:p>
    <w:p>
      <w:r>
        <w:rPr>
          <w:b/>
        </w:rPr>
        <w:t>E. 6.3.3.3</w:t>
      </w:r>
    </w:p>
    <w:p>
      <w:r>
        <w:t>De même, lorsque les parties sont convenues d'habiliter le client à transmettre des ordres par courriel, la banque n'a pas à prendre de mesures extraordinaires, incompatibles avec une liquidation rapide des opérations, et elle n'a pas à systématiquement présumer que le courriel qui lui est communiqué depuis l'adresse électronique du client ne provient pas de celui-ci. Il n'y a de faute grave de la banque que si l'examen auquel elle procède, nécessairement rapidement pour ce type d'opérations bancaires, fait apparaître des indices sérieux d'une usurpation d'adresse et donc d'identité. Tel serait le cas s'il devait sauter aux yeux de toute personne raisonnable que l'ordre transmis, de par son texte, son contenu ou un lieu de virement exotique et compte tenu de la situation du client, ne pouvait émaner de celui-ci ( ATF 146 III 326 consid. 6.2.1.2 p. 334).</w:t>
      </w:r>
    </w:p>
    <w:p>
      <w:r>
        <w:rPr>
          <w:b/>
        </w:rPr>
        <w:t>E. 6.4</w:t>
      </w:r>
    </w:p>
    <w:p>
      <w:r>
        <w:t>En l'espèce, même si l'on devait retenir que la cliente a violé ses obligations contractuelles du fait que sa comptable a incité l'employé de la banque à s'écarter du système de représentation convenu, à savoir de l'exigence d'une signature collective à deux, au motif que l'affaire était confidentielle et urgente, force est de constater que les fautes concomitantes de la banque et de ses auxiliaires ont interrompu le rapport de causalité adéquate entre cette violation et le dommage. Alors que les parties étaient convenues d'une représentation par signature collective à deux et de l'utilisation du système de transmission électronique G., qui impliquait également que les ordres de BGE 146 III 387 S. 402 paiement soient donnés par deux personnes autorisées, et qu'elles n'avaient pas prévu que des ordres puissent être donnés par courriel, l'employé de la banque a proposé à la jeune comptable de procéder par courriel, soit sans signatures manuscrites, et de surcroît n'a eu une confirmation par contact direct téléphonique qu'avec une seule personne autorisée, en violation de l'exigence de la signature collective à deux. Cette faute de l'employé de la banque, imputable à celle-ci, interrompt déjà à elle seule le rapport de causalité adéquate. De surcroît, comme la cour cantonale l'a retenu, le premier courriel du soi-disant CEO du 23 juillet 2014, comme les deux suivants des 25 et 29 juillet 2014, étaient manifestement suspects: l'adresse électronique du prétendu CEO (y) ne correspondait pas à celle des personnes employées par la société et ces trois courriels contenaient des fautes d'orthographe - et de syntaxe - alors que la société et son CEO sont suisses. Alors que la société effectuait tous ses paiements par G., et non par ordre téléphonique ou par courriel, le premier ordre de paiement était déjà de ce fait inhabituel et insolite (malgré le fait que l'employé de la banque ait eu un contact direct avec la comptable). Il l'était également par son montant (par rapport aux ordres habituels). Quant aux deux ordres suivants, ils l'étaient également en raison de leur "fréquence", intervenant deux jours après le premier, puis un jour (sans compter le week-end) après le second, en raison de l'importance de leurs montants et du fait que les deux ordres portaient sur des montants identiques. Dans ces circonstances, les fautes que la cour cantonale a imputées à la comptable et, partant, à la société cliente ( art. 101 CO ), apparaissent comme lointaines dans la chaîne des causes ayant entraîné le dommage, même si, sans elles, il n'y aurait pas eu d'escroquerie. Les griefs soulevés par la banque recourante ne changent rien à cette appréciation.</w:t>
      </w:r>
    </w:p>
    <w:p>
      <w:r>
        <w:rPr>
          <w:b/>
        </w:rPr>
        <w:t>E. 6.5</w:t>
      </w:r>
    </w:p>
    <w:p>
      <w:r>
        <w:t>Il s'ensuit que la banque ne peut faire supporter à la société cliente le dommage qu'elle subit, en faisant valoir contre celle-ci, en compensation, une prétention en dommages-intérêts au sens de l' art. 97 al. 1 CO . C'est à tort que la cour cantonale a pondéré les fautes respectives de la banque et de la cliente, ou, plus précisément, de l'employé de la banque (et ses supérieurs) et de la comptable.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