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339</w:t>
      </w:r>
    </w:p>
    <w:p>
      <w:r>
        <w:t>Bundesgericht (BGE), 2020-07-14, FR</w:t>
      </w:r>
    </w:p>
    <w:p>
      <w:r>
        <w:rPr>
          <w:b/>
        </w:rPr>
        <w:t xml:space="preserve">Quelle: </w:t>
      </w:r>
      <w:r>
        <w:t>https://mcp.opencaselaw.ch/entscheid/bge_BGE_146_III_339</w:t>
      </w:r>
    </w:p>
    <w:p>
      <w:r>
        <w:t>FR: ATF 146 III 339</w:t>
      </w:r>
    </w:p>
    <w:p>
      <w:r>
        <w:t>IT: DTF 146 III 339</w:t>
      </w:r>
    </w:p>
    <w:p>
      <w:pPr>
        <w:pStyle w:val="Heading2"/>
      </w:pPr>
      <w:r>
        <w:t>Regeste</w:t>
      </w:r>
    </w:p>
    <w:p>
      <w:r>
        <w:t>Regeste VVG; Kollektivkrankentaggeldversicherung. Abgrenzung zwischen einer Summen- und einer Schadensversicherung. In casu fällt die abgeschlossene Versicherung in die zweite Kategorie (E. 5.1, 5.2.3 und 5.2.4).</w:t>
      </w:r>
    </w:p>
    <w:p>
      <w:r>
        <w:t>Regeste LCA; assurance collective d'indemnités journalières en cas de maladie. Distinction entre une assurance de sommes et une assurance de dommages. In casu, l'assurance convenue ressortit à la seconde catégorie (consid. 5.1, 5.2.3 et 5.2.4).</w:t>
      </w:r>
    </w:p>
    <w:p>
      <w:r>
        <w:t>Regesto LCA; assicurazione collettiva d'indennità giornaliere in caso di malattia. Distinzione fra un'assicurazione di somma fissa e un'assicurazione contro i danni. In casu l'assicurazione stipulata appartiene alla seconda categoria (consid. 5.1, 5.2.3 e 5.2.4).</w:t>
      </w:r>
    </w:p>
    <w:p>
      <w:pPr>
        <w:pStyle w:val="Heading2"/>
      </w:pPr>
      <w:r>
        <w:t>Erwägungen</w:t>
      </w:r>
    </w:p>
    <w:p>
      <w:r>
        <w:rPr>
          <w:b/>
        </w:rPr>
        <w:t>E. 5.1</w:t>
      </w:r>
    </w:p>
    <w:p>
      <w:r>
        <w:t>La Cour de justice genevoise a jugé en substance que pour avoir droit à des indemnités journalières, l'assuré devait subir une perte effective sur le plan économique du fait de l'état dépressif affectant sa capacité de travail. L'assurance en cause était une assurance collective qui, de par sa nature, était généralement conclue sous la forme d'une assurance de dommages. Cet axiome était en l'occurrence confirmé par les conditions générales, soit en particulier par les art. [B] 1, B 6, B 8 al. 1 et 2 et B 10 CGA: le montant de l'indemnité dépendait de l'importance de l'incapacité de travail; elle était calculée sur la base du salaire effectif et pouvait être diminuée en cas de surindemnisation. L'assuré était tombé malade consécutivement à la résiliation de son contrat de travail. Il avait épuisé son droit aux prestations de l'assurance-chômage antérieurement à son engagement du 1 er février 2016 et n'avait pas cotisé suffisamment pour entraîner l'ouverture d'un nouveau délai-cadre d'indemnisation. Il devait ainsi établir, au degré de la vraisemblance prépondérante, qu'il aurait exercé une activité lucrative s'il n'avait pas souffert de troubles psychiques. Or, il avait échoué à rapporter une telle preuve. En effet, il n'avait pas établi avoir été l'objet d'une offre d'emploi sérieuse, les deux attestations produites étant inopérantes. Au demeurant, l'atteinte rénale dont il souffrait ne permettait pas de considérer qu'il aurait été apte à reprendre une quelconque activité, même en l'absence de troubles psychiques. BGE 146 III 339 S. 342</w:t>
      </w:r>
    </w:p>
    <w:p>
      <w:r>
        <w:rPr>
          <w:b/>
        </w:rPr>
        <w:t>E. 5.2</w:t>
      </w:r>
    </w:p>
    <w:p>
      <w:r>
        <w:t>(...)</w:t>
      </w:r>
    </w:p>
    <w:p>
      <w:r>
        <w:rPr>
          <w:b/>
        </w:rPr>
        <w:t>E. 5.2.3</w:t>
      </w:r>
    </w:p>
    <w:p>
      <w:r>
        <w:t>La distinction entre assurance de sommes et assurance de dommages a occupé de longue date la doctrine et la jurisprudence. L'assurance de sommes garantit une prestation prédéfinie lors de la conclusion du contrat, qui doit être versée si l'événement assuré survient, sans égard à ses conséquences pécuniaires et à l'existence d'un possible dommage. En revanche, dans une assurance contre les dommages, les cocontractants font de la perte patrimoniale effective une condition autonome du droit aux prestations; une telle assurance vise à compenser totalement ou partiellement un dommage effectif. Toute assurance vise à parer à d'éventuels revers de fortune. Le critère de distinction ne réside donc pas dans le but, mais bien dans les conditions de la prestation d'assurance (cf. entre autres ATF 119 II 361 consid. 4 p. 364 s.; ATF 104 II 44 consid. 4c; arrêts 4A_367/2016 du 20 mars 2017 consid. 3.2; 4A_53/2007 du 26 septembre 2007 consid. 4.4.2; GERHARD STOESSEL, Schadens- und Summenversicherung: Diskussion seit hundert Jahren, in Mélanges du Bureau National Suisse d'Assurance [...], 2000, p. 504; VINCENT BRULHART, Droit des assurances privées [ci-après: Assurances privées], 2 e éd. 2017, p. 521 s.). L'assurance de sommes permet à l'assuré de cumuler les prétentions en versement des indemnités journalières prévues par le contrat d'assurance avec d'autres prétentions découlant du même événement dommageable. La surindemnisation est possible; conformément à l' art. 96 LCA (RS 221.229.1), les droits que l'ayant droit aurait contre des tiers en raison du sinistre ne passent pas à l'assureur ( ATF 133 III 527 consid. 3.2.5). L'assurance de dommages, en revanche, est gouvernée par le principe indemnitaire; pour éviter le cumul, l' art. 72 LCA a institué un droit de recours de l'assureur à l'encontre du tiers responsable (arrêt précité 4A_53/2007 consid. 4.4.2; BRULHART, Assurances privées, op. cit., p. 521). Savoir si l'on est en présence d'une assurance de sommes ou de dommages dépend en définitive du contrat d'assurance et des conditions générales. L'expression "incapacité de gain" n'est pas déterminante dans la mesure où elle est parfois utilisée comme un synonyme de l'incapacité de travail (cf. arrêt 4A_332/2010 du 22 février 2011 consid. 5.2.4). Les règles usuelles d'interprétation des contrats sont applicables (arrêt précité 4A_53/2007 consid. 4.4.2). Lorsque l'interprétation ainsi dégagée laisse subsister un doute sur leur sens, les conditions générales doivent être interprétées en défaveur de leur auteur, conformément à la règle dite des clauses ambiguës (Unklarheitsregel, BGE 146 III 339 S. 343 in dubio contra stipulatorem ; ATF 124 III 155 consid. 1b p. 158; ATF 122 III 118 consid. 2a; arrêt 4A_177/2015 du 16 juin 2015 consid. 3.2). D'aucuns font observer que les conditions générales d'assurance ne formulent pas toujours explicitement l'exigence d'un dommage, laquelle peut aussi découler de l'interprétation qui doit s'étendre le cas échéant aux autres documents contractuels. S'il en résulte que la prestation d'assurance est conditionnée à une perte patrimoniale déclenchée par l'événement assuré, il s'agit d'une assurance de dommages, quand bien même l'étendue de la prestation est jusqu'à un certain point forfaitisée - ce qui arrive fréquemment pour des raisons pratiques (STOESSEL, op. cit., p. 510 § 1 et p. 511 § 2; sur la forfaitisation, cf. aussi HÄBERLI/HUSMANN, Krankentaggeld, versicherungs- und arbeitsrechtliche Aspekte, 2015, p. 9 s. n. 36). Divers auteurs constatent en outre que les assurances collectives conclues par une entreprise pour le personnel sont typiquement des assurances de dommages (MATTER/FREY, ius.focus 2016 p. 16; IVANO RANZANICI, Les effets de l'incapacité de travailler pour cause d'une maladie successive à la résolution du contrat de travail, in Regards croisés sur le droit du travail: Liber Amicorum pour Gabriel Aubert, 2015, p. 276; STEPHAN FUHRER, Kollektive Krankentaggeldversicherung - aktuelle Fragen, in Annales SDRCA 2014 [ci-après: Annales 2014], p. 86). L'employeur a en effet l'obligation de verser, pour un temps limité, le salaire du travailleur empêché de travailler pour cause de maladie ( art. 324a CO ). Pour autant qu'elle offre des prestations équivalentes, une assurance collective couvrant tout le personnel de l'entreprise peut libérer cette dernière d'une telle obligation, le risque lié à l'incapacité de travail étant alors assumé par l'assureur (cf. art. 324a al. 4 CO ; cf. entre autres RANZANICI, op. cit., p. 272-274; VINCENT BRULHART, L'assurance collective contre la perte de gain en cas de maladie [ci-après: Assurance collective], in Le droit social dans la pratique de l'entreprise, 2006, p. 99 s.; cf. ATF 141 III 112 consid. 4.1-4.3). Le fait que l'assurance couvre des personnes non nommément désignées comme le fait qu'elle se réfère au dernier salaire AVS touché dans l'entreprise plaident en faveur d'une assurance de dommages (HANS-RUDOLF MÜLLER, Grundlagen der Krankentaggeldversicherung nach VVG, in Krankentaggeldversicherung: Arbeits- und versicherungsrechtliche Aspekte, 2007, p. 29-31; HÄBERLI/ HUSMANN, op. cit., p. 11 n. 42; MATTER/FREY, ius.focus 2016 p. 16). BGE 146 III 339 S. 344 L'assurance collective peut voir co-exister une assurance de dommages pour le personnel salarié et une assurance de sommes pour le chef d'entreprise/employeur (MÜLLER, op. cit., p. 30; HÄBERLI/HUSMANN, op. cit., p. 10 n. 40; RUDOLF LUGINBÜHL, Krankentaggeldversicherungen, Allgemeiner Überblick und aktuelle Probleme, in Arbeitsunfähigkeit und Taggeld, 2010, p. 20); l'assurance de sommes est en effet fréquente s'agissant des indépendants (HÄBERLI/ HUSMANN, op. cit., p. 9 n. 33; cf. BRULHART, Assurance collective, op. cit., p. 110 s.). Les tribunaux ont (trop) souvent été occupés par des litiges sur la nature de l'assurance contractée, qui eussent pu aisément être évités si les assureurs avaient indiqué clairement dans leurs conditions générales quel type d'assurance était offert (cf. FUHRER, Annales 2014, op. cit., p. 86 s.). Le législateur a toutefois fait en sorte de remédier à cette situation. Dans un premier temps, il avait été envisagé d'instituer un jeu de présomptions inférant que les assurances de personnes sont des assurances de sommes et les autres assurances, des assurances de dommages (cf. art. 28 de l'Avant-projet de la Commission d'experts du 31 juillet 2006; FUHRER, Annales 2014, op. cit., p. 86 s. et la sous-note 66). Une autre solution a finalement été trouvée. Le Parlement vient d'adopter le 19 juin 2020 une modification de la LCA comprenant un nouvel art. 3 al. 1 let. b, en vertu duquel l'assureur doit "renseigner le preneur d'assurance, de manière compréhensible et par un moyen permettant d'en établir la preuve par un texte", en particulier "sur l'étendue de la couverture d'assurance et sa nature, c'est-à-dire la question de savoir s'il s'agit d'une assurance de sommes ou d'une assurance dommages" (cf. FF 2020 5496, avec délai référendaire au 8 octobre 2020; cf. aussi le Message du 28 juin 2017 concernant la révision de la LCA, FF 2017 4787 s. et 4818).</w:t>
      </w:r>
    </w:p>
    <w:p>
      <w:r>
        <w:rPr>
          <w:b/>
        </w:rPr>
        <w:t>E. 5.2.4</w:t>
      </w:r>
    </w:p>
    <w:p>
      <w:r>
        <w:t>En l'occurrence, l'assurance convenue tend expressément à parer aux "conséquences économiques de l'incapacité de travail due à une maladie" (art. B 1 al. 1 CGA). Cet élément n'est pas décisif, puisque le but d'une telle assurance - qu'elle soit de sommes ou de dommages - vise à obvier à la perte financière découlant d'une maladie (cf. ATF 119 II 361 consid. 4 p. 365). Importent au premier chef les conditions entourant l'obligation de prester (cf. consid. 5.2.3 supra). En l'occurrence, il appert que l'assureur BGE 146 III 339 S. 345 doit payer des indemnités journalières "lorsque [...] l'assuré est dans l'incapacité de travailler", ces indemnités étant "calculées sur la base du dernier salaire AVS perçu dans l'entreprise assurée" avant la maladie (art. B 8 al. 1 et B 6 al. 1 CGA). Pris à la lettre, l'art. B 8 al. 1 CGA implique que l'incapacité de travail suffit à entraîner le versement de l'indemnité, ce qui pourrait en soi plaider en faveur d'une assurance de sommes. On ne discerne en effet nul réquisit quant à un éventuel dommage ou autre perte de gain. Il n'est pas précisé que l'indemnité journalière est versée en cas d'incapacité de travail "jusqu'à concurrence de la perte de gain établie" (cf. par exemple art. 14 al. 1 CGA de l'assurance collective proposée par X., éd. 2012 et 2015, accessibles sur Internet [...]); il n'est pas non plus énoncé que l'assureur renonce à exiger la preuve d'une perte de gain concrète, tout en se réservant le droit d'exiger une telle preuve dans des cas individuels (cf. art. 5.4 let. d CGA de l'assurance perte de gain maladie offerte par Y., éd. juillet 2019, également sur Internet [...]). Cela étant, il faut se garder de conclusions trop hâtives fondées sur la seule lettre de l'art. B 8 al. 1 CGA et privilégier une approche globale. L'on gardera ainsi à l'esprit que le recourant bénéficie de cette assurance collective en tant que salarié de l'entreprise qui est la preneuse d'assurance. Il n'apparaît pas que le personnel assuré, et le recourant en particulier, ait été nommément désigné. Est déterminant le salaire effectif de l'ayant droit, soit le dernier salaire AVS perçu dans l'entreprise assurée avant le début de la maladie; comme le souligne la doctrine, ces éléments plaident pour une assurance de dommages. Qui plus est, l'arrêt attaqué précise, en évoquant l'art. B 10 CGA, que l'indemnité peut être réduite en cas desurindemnisation, les prestations de tiers étant prises en compte sauf si le contraire a été expressément convenu (assurance de sommes). Cet élément, typique d'une assurance de dommages fondée sur le principe de l'indemnisation, n'est certes pas un critère absolu. Doctrine et jurisprudence ont relevé qu'il peut se retrouver exceptionnellement dans une assurance de sommes si les conditions générales le prévoient ( ATF 133 III 527 consid. 3.2.5 in fine et la réf. à ROLAND BREHM, L'assurance privée contre les accidents, 2001, p. 191-192 n. 376). Le présent régime contractuel fait toutefois prévaloir la règle générale: les prestations de tiers sont imputées, sauf si le contraire est exprimé, auquel cas il s'agit d'une assurance de sommes. Autrement dit, les assurances dans lesquelles les prestations de tiers sont imputées constituent des assurances de dommages. BGE 146 III 339 S. 346 Sur la base des éléments limités dont on dispose - à savoir certains articles des conditions générales cités ou mentionnés (art. B 10) dans l'arrêt attaqué, à l'exclusion de la police d'assurance topique -, il faut bien admettre que l'autorité précédente n'a pas enfreint le droit fédéral en considérant que l'assurance en question était une assurance de dommages. Le recourant se réfère à d'autres clauses CGA qui ne figurent pas dans l'arrêt attaqué, sans satisfaire aux exigences nécessaires pour obtenir un complètement de l'état de fait (cf. ATF 140 III 86 consid. 2 p. 90). Au demeurant, l'art. B 11 al. 7 CGA n'a pas l'importance que lui prête le recourant. Cette clause, relative au droit de passage dans l'assurance individuelle, précise que le montant maximum assurable est celui qui résulte ou résulterait des indemnités de chômage; cela n'exclut pas, dans le contexte précité, d'apposer à l'assurance collective l'étiquette d'une assurance de dommages.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