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290</w:t>
      </w:r>
    </w:p>
    <w:p>
      <w:r>
        <w:t>Bundesgericht (BGE), 2020-06-16, DE</w:t>
      </w:r>
    </w:p>
    <w:p>
      <w:r>
        <w:rPr>
          <w:b/>
        </w:rPr>
        <w:t xml:space="preserve">Quelle: </w:t>
      </w:r>
      <w:r>
        <w:t>https://mcp.opencaselaw.ch/entscheid/bge_BGE_146_III_290</w:t>
      </w:r>
    </w:p>
    <w:p>
      <w:r>
        <w:t>FR: ATF 146 III 290</w:t>
      </w:r>
    </w:p>
    <w:p>
      <w:r>
        <w:t>IT: DTF 146 III 290</w:t>
      </w:r>
    </w:p>
    <w:p>
      <w:pPr>
        <w:pStyle w:val="Heading2"/>
      </w:pPr>
      <w:r>
        <w:t>Regeste</w:t>
      </w:r>
    </w:p>
    <w:p>
      <w:r>
        <w:t>Regeste Art. 82 ZPO; Zulassung der Streitverkündungsklage. Zur Rechtsnatur des Entscheids, mit dem das Gericht die Streitverkündungsklage zulässt (E. 4.3).</w:t>
      </w:r>
    </w:p>
    <w:p>
      <w:r>
        <w:t>Regeste Art. 82 CPC; admission de l'appel en cause. Nature juridique de la décision par laquelle le tribunal admet l'appel en cause (consid. 4.3).</w:t>
      </w:r>
    </w:p>
    <w:p>
      <w:r>
        <w:t>Regesto Art. 82 CPC; ammissione dell'azione di chiamata in causa. Natura giuridica della decisione mediante la quale il giudice ammette l'azione di chiamata in causa (consid. 4.3).</w:t>
      </w:r>
    </w:p>
    <w:p>
      <w:pPr>
        <w:pStyle w:val="Heading2"/>
      </w:pPr>
      <w:r>
        <w:t>Erwägungen</w:t>
      </w:r>
    </w:p>
    <w:p>
      <w:r>
        <w:rPr>
          <w:b/>
        </w:rPr>
        <w:t>E. 4</w:t>
      </w:r>
    </w:p>
    <w:p>
      <w:r>
        <w:t>(...) 4.3.1 Die streitverkündende Partei kann ihre Ansprüche, die sie im Falle des Unterliegens gegen die streitberufene Person zu haben glaubt, beim Gericht, das mit der Hauptsache befasst ist, geltend machen ( Art. 81 Abs. 1 ZPO ).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 Wird die Streitverkündungsklage zugelassen, so bestimmt das Gericht Zeitpunkt und Umfang des betreffenden Schriftenwechsels; Art. 125 ZPO bleibt vorbehalten ( Art. 82 Abs. 3 ZPO ). Der Entscheid über die Zulassung der Streitverkündungsklage ist mit Beschwerde anfechtbar ( Art. 82 Abs. 4 ZPO ). Das Verfahren der Streitverkündungsklage ist demnach zweistufig ausgestaltet: In einem ersten Schritt wird über ihre Zulassung entschieden. Erst danach, wenn der Zulassungsentscheid positiv ausgefallen ist, kommt es zur Einreichung der eigentlichen Streitverkündungsklage und Durchführung des diesbezüglichen Schriftenwechsels (Urteil 4A_341/2014 vom 5. November 2014 E. 2.1). Das inzidente Zulassungsverfahren tritt gewissermassen an die Stelle des Schlichtungsverfahrens (Botschaft vom 28. Juni 2006 zur Schweizerischen Zivilprozessordnung [ZPO], BBl 2006 7285). Das Gericht prüft in diesem Verfahren (nebst den verfahrensmässigen Voraussetzungen; s. dazu BGE 139 III 67 E. 2.4.1 f. S. 73 f.) nur, ob der behauptete Anspruch der streitverkündenden gegen die streitberufene Partei mit dem Hauptklageanspruch sachlich zusammenhängt. In der Begründung des Zulassungsgesuchs ( Art. 82 Abs. 1 Satz 2 ZPO ) ist lediglich darzutun, ob der behauptete Anspruch des Streitverkündungsklägers vom Bestand des Hauptklageanspruchs abhängig und folglich ein potentielles Regressinteresse gegeben ist. Allein zum Zwecke der Zulassungsprüfung ist nicht erforderlich, eine einlässliche BGE 146 III 290 S. 293 Klageschrift einzureichen, denn eine Prüfung, ob der Anspruch im Falle des Unterliegens des Streitverkündungsklägers gegenüber dem Hauptkläger materiell begründet ist, findet im Zulassungsverfahren nicht statt ( BGE 139 III 67 E. 2.4.3 S. 74 f.; Urteil 4A_467/2013 vom 23. Januar 2014 E. 2.1). Ist für die Streitverkündungsklage ein beziffertes Rechtsbegehren erforderlich, muss auch das im Zulassungsgesuch gestellte Rechtsbegehren dem entsprechen ( BGE 142 III 102 E. 6 S. 110; Urteil 4A_134/2016 vom 11. Juli 2016 E. 1.1). Gemäss einer geplanten Gesetzesnovelle soll dieses Erfordernis dann entfallen, wenn die Begehren dieselbe Leistung betreffen, zu der die streitverkündende Partei ihrerseits im Hauptverfahren verpflichtet wird (s. Botschaft und Entwurf vom 26. Februar 2020 zur Änderung der Zivilprozessordnung [Verbesserung der Praxistauglichkeit und der Rechtsdurchsetzung], BBl 2020 2736 und 2787). 4.3.2 Der Beschwerdeführer will dem Entscheid des Kantonsgerichts, auf die Streitverkündungsklage mangels Bezifferung des Rechtsbegehrens nicht einzutreten, die Verfügung vom 14. Oktober 2011 entgegenhalten, mit der das Bezirksgericht seine Streitverkündungsklage ohne Rücksicht auf die fehlende Bezifferung des Begehrens zuliess. Er argumentiert, dass es sich dabei nicht um eine prozessleitende Verfügung, sondern um einen rechtskraftfähigen Zwischenentscheid über eine Prozessvoraussetzung handle. Diese Meinung findet sich auch im Schrifttum (NINA J. FREI, in: Basler Kommentar, Schweizerische Zivilprozessordnung, 3. Aufl. 2017, N. 5 f. zu Art. 82 ZPO ; ANNE-CATHERINE HAHN, in: Schweizerische Zivilprozessordnung [ZPO], Baker &amp; McKenzie [Hrsg.], 2010, N. 7 zu Art. 82 ZPO ). Mehrheitlich wird freilich die Auffassung vertreten, der Entscheid über die Zulassung sei eine (qualifizierte, da von Gesetzes wegen der Beschwerde unterstellte) prozessleitende Verfügung im Sinne von Art. 124 und Art. 319 lit. b ZPO (TARKAN GÖKSU, in: Schweizerische Zivilprozessordnung, Kommentar, Brunner/Gasser/Schwander [Hrsg.], 2. Aufl. 2016, N. 13 zu Art. 82 ZPO ; DANIEL SCHWANDER, in: Kommentar zur Schweizerischen Zivilprozessordnung, Sutter-Somm/Hasenböhler/Leuenberger [Hrsg.], 3. Aufl. 2016, N. 23 zu Art. 82 ZPO ; GASSER/RICKLI, Schweizerische Zivilprozessordnung, Kurzkommentar, 2. Aufl. 2014, N. 2 zu Art. 124 ZPO ; NINA J. FREI, in: Berner Kommentar, Schweizerische Zivilprozessordnung, Bd. I, 2012, N. 14 zu Art. 124 ZPO ; RAINER WEY, Die Streitverkündungsklage nach der Schweizerischen Zivilprozessordnung, in: Haftpflichtprozess 2010, 2010, S. 70; implizite wohl auch JACQUES HALDY, BGE 146 III 290 S. 294 in: Commentaire romand, Code de procédure civile, 2. Aufl. 2019, N. 9 zu Art. 82 ZPO , der auf Art. 319 lit. b Ziff. 1 ZPO verweist; anders FABIENNE HOHL, Procédure civile, Bd. I, 2. Aufl. 2016, Rz. 1098, die von einer "autre décision sur incident" im Sinne von Art. 319 lit. b Ziff. 2 ZPO spricht). Schliesslich findet sich die (vermittelnde) Auffassung, dass der Entscheid, die Streitverkündungsklage zuzulassen, aus der Perspektive des Verfahrens über die Streitverkündungsklage ein Zwischenentscheid und im Rahmen des Hauptverfahrens (auch) eine prozessleitende Verfügung sei (TANJA DOMEJ, in: ZPO, Oberhammer und andere [Hrsg.], 2. Aufl. 2014, N. 9 zu Art. 82 ZPO ). Das Bundesgericht führte in einem neueren Entscheid aus, das Gericht müsse die Zulassung der Streitverkündungsklage in einem Zwischenverfahren prüfen und darüber mit anfechtbarem Prozessentscheid befinden ( BGE 139 III 67 E. 2.3 S. 72). Die hier aufgeworfene Streitfrage war in diesem Entscheid allerdings kein Thema. Das Bundesgericht (zit. Urteil, a.a.O.) weist lediglich auf die bundesrätliche Botschaft zur ZPO hin, wo von einem inzidenten Zulassungsverfahren die Rede sei (vgl. E. 4.3.1). Der Beschwerdeführer äussert sich nicht dazu, weshalb die von ihm vertretene Ansicht den Vorzug verdiene. Ein solcher Grund ist auch nicht ersichtlich. Soweit sie näher auf die Thematik eingehen, anerkennen auch diejenigen Autoren, welche die Zulassung der Streitverkündungsklage als Zwischenentscheid qualifizieren, dass das Zulassungsverfahren von seinem Gegenstand her auf die Prüfung der Frage beschränkt ist, ob zwischen der Haupt- und der Streitverkündungsklage ein sachlicher Zusammenhang besteht (s. NINA J. FREI, in: Basler Kommentar, Schweizerische Zivilprozessordnung, 3. Aufl. 2017, N. 7b zu Art. 82 ZPO ; DOMEJ, a.a.O., N. 6 und 8 zu Art. 82 ZPO ; vgl. E. 4.3.1). Weshalb der Entscheid, die Streitverkündungsklage zuzulassen, trotzdem ein Zwischenentscheid sein soll, dem hinsichtlich der Eintretensfrage (auch mit Bezug auf eine allenfalls erforderliche Bezifferung) eine für den eigentlichen Streitverkündungsprozess bindende Wirkung zukommt, ist den zitierten Literaturstellen nicht zu entnehmen. Die Frage, ob und gegebenenfalls unter welchen Voraussetzungen der Streitverkündungskläger sein Begehren (nach heute oder dereinst geltenden Regeln) schon im Zulassungsgesuch beziffern muss, ändert nichts an der beschriebenen Eigenart des inzidenten Zulassungsverfahrens. Wie gerade die geplante Ergänzung von Art. 82 Abs. 1 ZPO zeigt, hängt die sachliche Konnexität zwischen der Haupt- und der Streitverkündungsklage, um die BGE 146 III 290 S. 295 sich das Zulassungsverfahren von der Sache her dreht, nicht davon ab, dass die streitverkündende Partei ihr Begehren von Anfang an beziffert. Deshalb kann auch offenbleiben, ob sich die streitberufene Partei im Zulassungsverfahren in dem Sinne auf einen unbezifferten Antrag einlassen kann, dass das Gericht im eigentlichen Streitverkündungsprozess daran gebunden ist. Dem beschriebenen Gegenstand des Zulassungsverfahrens entsprechend wird zutreffend darauf hingewiesen, dass der Zulassungsentscheid im Sinne von Art. 82 Abs. 4 ZPO nicht den Streitgegenstand, sondern den Ablauf und die Gestaltung des Prozesses betrifft (SCHWANDER, a.a.O., N. 24 zu Art. 82 ZPO ; vgl. auch ALEXANDER BRUNNER, in: ZPO, Oberhammer und andere [Hrsg.], 2. Aufl. 2014, N. 9 zu Art. 319 ZPO ). Damit im Einklang stehen nicht nur die beschriebenen (reduzierten) Anforderungen an die Begründung des Zulassungsgesuchs (E. 4.3.1), sondern auch die in Art. 82 Abs. 4 ZPO enthaltene Vorschrift, wonach der Zulassungsentscheid nicht berufungsfähig, sondern mit Beschwerde ( Art. 319 ff. ZPO ) anfechtbar ist. 4.3.3 Dass die Bezifferung der Streitverkündungsklage im Berufungsverfahren auch dann kein Thema mehr sein durfte, wenn die Verfügung vom 14. Oktober 2011 nicht als Zwischenentscheid zu gelten hat, behauptet der Beschwerdeführer nicht, noch stellt er in Abrede, dass er seine Streitverkündungsklage grundsätzlich zu beziffern hatte. Schliesslich stört er sich auch nicht daran, dass der streitberufene C. die Frage der Bezifferung (den vorinstanzlichen Feststellungen zufolge) erst im Berufungsverfahren aufwarf (vgl. DENIS TAPPY, in: Commentaire romand, Code de procédure civile, 2. Aufl. 2019, N. 31a zu Art. 221 ZPO , dem zufolge es sich nicht mit Art. 52 ZPO verträgt, die Ungültigkeit der Klagebewilligung erst im Schlussvortrag zur Sprache zu bringen; s. auch Urteil 5A_75/2018 vom 18. Dezember 2018 E. 2.3 mit Hinweisen). Der Vorwurf des Beschwerdeführers richtet sich gegen die Vorinstanz. Nachdem das Bezirksgericht die Streitverkündungsklage zugelassen, den Schriftenwechsel angeordnet und das Beweisverfahren durchgeführt habe, verletze das Vorgehen des Kantonsgerichts das Gebot zum Handeln nach Treu und Glauben ( Art. 52 ZPO ). Auch diese Rüge geht fehl. Vorab ist daran zu erinnern, dass die Streitverkündungsklage im jetzt angefochtenen Berufungsentscheid zum ersten Mal überhaupt beurteilt wurde (s. Sachverhalt Bst. B). Nach dem Gesagten stellt die Zulassung der Streitverkündungsklage keinen verbindlichen (Zwischen-)Entscheid über eine Prozessvoraussetzung BGE 146 III 290 S. 296 dar (E. 4.3.2). Die Bezifferung der Anträge gehört, soweit sie erforderlich ist ( Art. 84 Abs. 2 ZPO ), zu den allgemeinen Prozessvoraussetzungen, die das Gericht von Amtes wegen prüft ( Art. 60 ZPO ; BGE 142 III 102 E. 3 S. 104). Dass die streitverkündende Partei (auch) im eigentlichen Prozess über die in Art. 85 ZPO vorgesehenen Ausnahmen hinaus auf die Bezifferung ihres Begehrens verzichten dürfte, ist im Übrigen auch im Rahmen der erwähnten Gesetzesnovelle nicht vorgesehen. Angesichts dieser Rechtslage war das Kantonsgericht allein aufgrund der Zulassung der Streitverkündungsklage durch das Bezirksgericht auch unter vertrauenstheoretischen Überlegungen nicht gezwungen, über das Erfordernis der Bezifferung hinwegzusehen und sich auf allezeit mit einem unbezifferten Rechtsbegehren zufrieden zu geben. Daran ändert auch der Umstand nichts, dass das Bezirksgericht in der Verfügung vom 14. Oktober 2011 den Schriftenwechsel mit C. anordnete und, wie die Beweisverfügung vom 26. Februar 2013 zeigt, vom späteren Beweisverfahren auch der Streitverkündungsprozess erfasst war. Der Beschwerdeführer behauptet nicht, dass angesichts der fehlenden Bezifferung der Streitverkündungsklage im erstinstanzlichen Verfahren gar kein Schriftenwechsel hätte stattfinden dürfen, noch macht er geltend, dass der Schriftenwechsel auf die Frage der Bezifferung zu beschränken gewesen wäre (vgl. Art. 222 Abs. 3 i.V.m. Art. 125 ZPO ). Nachdem das Bezirksgericht die Hauptklage zweimal ab- und das Kantonsgericht die Sache im ersten Berufungsentscheid zur weiteren Prüfung der Hauptklage an das Bezirksgericht zurückgewiesen hatte, kann der besagte Schriftenwechsel dem Kantonsgericht unter dem Gesichtspunkt von Art. 52 ZPO nicht vorgehalten werden. Was schliesslich das Beweisverfahren angeht, ergibt sich aus den Akten ( Art. 105 Abs. 2 BGG ), dass der Beschwerdeführer und der streitberufene C. an der Instruktionsverhandlung vom 27. November 2012 übereinstimmend dieselben Beweismittel wie im Hauptprozess beantragten. Inwiefern das Bezirksgericht im Beweisverfahren gerade mit Bezug auf das Erfordernis der Bezifferung eine Vertrauenslage geschaffen hätte, auf die er sich auch im zweiten Berufungsverfahren hätte berufen können, tut der Beschwerdeführer nicht dar und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