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399</w:t>
      </w:r>
    </w:p>
    <w:p>
      <w:r>
        <w:t>Bundesgericht (BGE), 2019-10-24, DE</w:t>
      </w:r>
    </w:p>
    <w:p>
      <w:r>
        <w:rPr>
          <w:b/>
        </w:rPr>
        <w:t xml:space="preserve">Quelle: </w:t>
      </w:r>
      <w:r>
        <w:t>https://mcp.opencaselaw.ch/entscheid/bge_BGE_145_V_399</w:t>
      </w:r>
    </w:p>
    <w:p>
      <w:r>
        <w:t>FR: ATF 145 V 399</w:t>
      </w:r>
    </w:p>
    <w:p>
      <w:r>
        <w:t>IT: DTF 145 V 399</w:t>
      </w:r>
    </w:p>
    <w:p>
      <w:pPr>
        <w:pStyle w:val="Heading2"/>
      </w:pPr>
      <w:r>
        <w:t>Regeste</w:t>
      </w:r>
    </w:p>
    <w:p>
      <w:r>
        <w:t>Regeste Art. 70 Abs. 2 lit. b ATSG; Art. 8 Abs. 1 lit. f und Art. 15 Abs. 2 AVIG i.V.m. Art. 15 Abs. 3 AVIV; Art. 23 AVIG; Art. 40b AVIV; Vorleistungspflicht der Arbeitslosenversicherung im Verhältnis zur Invalidenversicherung. Die Arbeitslosenversicherung ist für die Zeit, in welcher der Anspruch auf Leistungen einer anderen Versicherung abgeklärt wird, vorleistungspflichtig, um Lücken im Erwerbsersatz zu vermeiden (Schwebezustand). Die Rechtsprechung zur Beendigung dieser Vorleistungspflicht zielt darauf ab, dass die Arbeitslosenkasse sobald als möglich, nämlich dann, wenn der Erwerbsunfähigkeitsgrad feststeht, die notwendige Leistungsanpassung vornehmen kann. Diese Anpassung, je nach Fallkonstellation, auch im Zeitpunkt eines verwaltungsinternen Beschlusses zuzulassen, ginge zulasten der Rechtssicherheit und der Praktikabilität im Verwaltungsverfahren. Von der grundsätzlichen Beendigung des Schwebezustands durch Erlass der Verfügung der IV-Stelle ist daher nicht abzuweichen, zumal hieraus der Arbeitslosenkasse kein Rechtsnachteil erwächst (E. 2-4).</w:t>
      </w:r>
    </w:p>
    <w:p>
      <w:r>
        <w:t>Regeste Art. 70 al. 2 let. b LPGA; art. 8 al. 1 let. f et art. 15 al. 2 LACI en relation avec l'art. 15 al. 3 OACI; art. 23 LACI; art. 40b OACI; obligation de l'assurance-chômage de prise en charge provisoire des prestations en relation avec l'assurance-invalidité. L'assurance-chômage est tenue de prendre en charge provisoirement les prestations pour la période durant laquelle le droit à des prestations d'une autre assurance fait l'objet d'une instruction, afin d'éviter des lacunes dans l'indemnisation de la perte de gain (état d'incertitude). La jurisprudence sur la cessation de cette prise en charge provisoire vise à ce que la caisse de chômage procède à l'adaptation nécessaire de la prestation le plus tôt possible, c'est-à-dire lorsque le taux de l'incapacité de gain est établi. Permettre d'effectuer cette adaptation, selon le cas particulier, également au moment d'une décision interne de l'administration irait à l'encontre de la sécurité du droit et de la praticabilité en procédure administrative. Il n'y a dès lors pas lieu de s'écarter du principe selon lequel l'état d'incertitude prend fin par le prononcé d'une décision de l'office AI, d'autant que cela n'entraîne aucun préjudice de nature juridique pour la caisse de chômage (consid. 2-4).</w:t>
      </w:r>
    </w:p>
    <w:p>
      <w:r>
        <w:t>Regesto Art. 70 cpv. 2 lett. b LPGA; art. 8 cpv. 1 lett. f e art. 15 cpv. 2 LADI in relazione con l'art. 15 cpv. 3 OADI; art. 23 LADI; art. 40b OADI; obbligo di prestazione anticipata dell'assicurazione contro la disoccupazione in relazione con l'assicurazione invalidità. L'assicurazione contro la disoccupazione è tenuta a versare una prestazione anticipata per il tempo in cui viene chiarito il diritto a prestazioni di un'altra assicurazione, affinché siano evitate lacune nella perdita di guadagno (situazione sospensiva). La giurisprudenza sul termine della prestazione anticipata mira, che la cassa di disoccupazione provveda al necessario adattamento di prestazione il più presto possibile ossia quando è accertato il grado di incapacità lavorativa. La possibilità di ammettere secondo i casi tale adattamento anche nel momento di una decisione interna dell'amministrazione andrebbe a scapito della sicurezza giuridica e della praticabilità nel procedimento amministrativo. Non occorre scostarsi dal principio secondo cui occorre fissare il termine della situazione sospensiva con l'emanazione della decisione dell'ufficio invalidità, soprattutto perché alla cassa di disoccupazione non deriva un danno giuridico (consid. 2-4).</w:t>
      </w:r>
    </w:p>
    <w:p>
      <w:pPr>
        <w:pStyle w:val="Heading2"/>
      </w:pPr>
      <w:r>
        <w:t>Erwägungen</w:t>
      </w:r>
    </w:p>
    <w:p>
      <w:r>
        <w:rPr>
          <w:b/>
        </w:rPr>
        <w:t>E. 2.1</w:t>
      </w:r>
    </w:p>
    <w:p>
      <w:r>
        <w:t>Streitig und zu prüfen ist, ob die Vorinstanz Bundesrecht verletzt hat, indem sie die Vorleistungspflicht der Arbeitslosenversicherung BGE 145 V 399 S. 402 durch die Mitteilung des Beschlusses der IV-Stelle vom 30. April 2018 als noch nicht beendet ansah.</w:t>
      </w:r>
    </w:p>
    <w:p>
      <w:r>
        <w:rPr>
          <w:b/>
        </w:rPr>
        <w:t>E. 2.2</w:t>
      </w:r>
    </w:p>
    <w:p>
      <w:r>
        <w:t>Art. 8 Abs. 1 AVIG (SR 837.0) zählt die für die Arbeitslosenentschädigung massgeblichen Anspruchsvoraussetzungen auf. Hierzu gehört nach Art. 8 Abs. 1 lit. f AVIG in Verbindung mit Art. 15 Abs. 1 AVIG die Vermittlungsfähigkeit, d.h. die versicherte Person muss bereit, in der Lage und berechtigt sein, eine zumutbare Arbeit anzunehmen und an Eingliederungsmassnahmen teilzunehmen. Der Begriff der Vermittlungsfähigkeit als Anspruchsvoraussetzung schliesst graduelle Abstufungen aus. Entweder ist die versicherte Person vermittlungsfähig, insbesondere bereit, eine zumutbare Arbeit (im Umfang von mindestens 20 % eines Normalarbeitspensums; vgl. Art. 5 AVIV [SR 837.02] und BGE 120 V 385 E. 4c/aa S. 390) anzunehmen, oder nicht ( BGE 136 V 95 E. 5.1 S. 97).</w:t>
      </w:r>
    </w:p>
    <w:p>
      <w:r>
        <w:rPr>
          <w:b/>
        </w:rPr>
        <w:t>E. 2.3</w:t>
      </w:r>
    </w:p>
    <w:p>
      <w:r>
        <w:t>Nach Art. 15 Abs. 2 Satz 1 AVIG gilt der körperlich oder geistig Behinderte als vermittlungsfähig, wenn ihm bei ausgeglichener Arbeitsmarktlage, unter Berücksichtigung seiner Behinderung, auf dem Arbeitsmarkt eine zumutbare Arbeit vermittelt werden könnte ( BGE 136 V 195 E. 3.1 S. 197 f.).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In diesem Sinn sieht Art. 70 Abs. 2 lit. b ATSG vor, dass die Arbeitslosenversicherung für Leistungen, deren Übernahme durch die Arbeitslosenversicherung, die Krankenversicherung, die Unfallversicherung oder die Invalidenversicherung umstritten ist, vorleistungspflichtig ist ( BGE 142 V 380 E. 3.1 S. 381 f.).</w:t>
      </w:r>
    </w:p>
    <w:p>
      <w:r>
        <w:rPr>
          <w:b/>
        </w:rPr>
        <w:t>E. 2.4</w:t>
      </w:r>
    </w:p>
    <w:p>
      <w:r>
        <w:t>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BGE 145 V 399 S. 403 mit entsprechendem Pensum anzutreten ( BGE 142 V 380 E. 3.2 S. 382; BGE 136 V 95 E. 7.1 S. 101). Die Vermutungsregel der grundsätzlich gegebenen Vermittlungsfähigkeit von Behinderten ( Art. 70 Abs. 2 lit. b ATSG und Art. 15 Abs. 2 AVIG in Verbindung mit Art. 15 Abs. 3 AVIV ) gilt lediglich für die Zeit, in welcher der Anspruch auf Leistungen einer anderen Versicherung abgeklärt wird und somit noch nicht feststeht. Damit sollen Lücken im Erwerbsersatz vermieden werden. Die Vorleistungspflicht ist daher auf die Dauer des Schwebezustandes begrenzt, weshalb sie endet, sobald das Ausmass der Erwerbsunfähigkeit feststeht (vgl. BGE 142 V 380 E. 3.2 S. 382; BGE 136 V 195 E. 7.4 S. 205; ARV 2011 S. 55, 8C_651/2009).</w:t>
      </w:r>
    </w:p>
    <w:p>
      <w:r>
        <w:rPr>
          <w:b/>
        </w:rPr>
        <w:t>E. 3.1</w:t>
      </w:r>
    </w:p>
    <w:p>
      <w:r>
        <w:t>Die Vorinstanz erwog, bei der Mitteilung des Beschlusses der IV-Stelle vom 30. April 2018 handle es sich um eine verwaltungsinterne Mitteilung an die Ausgleichskasse der SVA Aargau, die das Verwaltungsverfahren noch nicht formell abschliesse. Auch in diesem Verfahrensstadium könne der Versicherte noch von der IV-Stelle zu berücksichtigende (medizinische) Akten einreichen. Der Schwebezustand sei erst mit der Aussenwirkung entfaltenden Verfügung vom 7. September 2018 beendet.</w:t>
      </w:r>
    </w:p>
    <w:p>
      <w:r>
        <w:rPr>
          <w:b/>
        </w:rPr>
        <w:t>E. 3.2.1</w:t>
      </w:r>
    </w:p>
    <w:p>
      <w:r>
        <w:t>Nach Auffassung der Beschwerdeführerin und des SECO sei mit der Mitteilung des Beschlusses der IV-Stelle vom 30. April 2018 der Grad der Erwerbsunfähigkeit bereits vor Verfügungserlass festgestanden. Die im Rahmen des Vorbescheidverfahrens erhobenen Einwände seien geprüft und der Invaliditätsgrad mittels Beschluss festgestellt worden. Wenn die 30-tägige Frist zur Erhebung von Einwänden gegen den Vorbescheid abgelaufen und sich die IV-Stelle durch Beschluss festgelegt habe, seien auch keine Nachkorrekturen mehr zu erwarten. Dies ermögliche eine rechtsgleiche und praktikable Verwaltungspraxis.</w:t>
      </w:r>
    </w:p>
    <w:p>
      <w:r>
        <w:rPr>
          <w:b/>
        </w:rPr>
        <w:t>E. 3.2.2</w:t>
      </w:r>
    </w:p>
    <w:p>
      <w:r>
        <w:t>Eventualiter sei davon auszugehen, dass sich der Versicherte und die Arbeitslosenkasse bereits mit dem Vorbescheid über das Mindestmass des Invaliditätsgrades einig gewesen seien, weshalb der versicherte Verdienst entsprechend habe angepasst werden dürfen. Die IV-Stelle habe im Zeitpunkt ihres Beschlusses noch nicht über die Rentenleistung verfügen können, da insbesondere die Höhe der Drittauszahlungen bzw. der Nachzahlungen an die Arbeitslosenkasse BGE 145 V 399 S. 404 noch nicht festgestanden sei. Die Arbeitslosenkasse wiederum müsse vorab den Zeitraum ihres Rückforderungsanspruchs kennen, um einen korrekten Verrechnungsantrag stellen zu können, insofern sei die Mitteilung des Beschlusses für sie bindend. Würde die Arbeitslosenkasse im laufenden Invalidenversicherungsverfahren trotz entsprechender Aufforderung durch die Ausgleichskasse keinen (betraglich) korrekten Verrechnungsantrag stellen, obwohl ihr die Berechnungsgrundlagen mit Mitteilung des Beschlusses vom 30. April 2018 übermittelt worden seien, liefe sie Gefahr, dass sie ihren Anspruch auf Nachzahlungen der Invalidenversicherung verliere und die Invalidenversicherung mit befreiender Wirkung an den Versicherten leiste.</w:t>
      </w:r>
    </w:p>
    <w:p>
      <w:r>
        <w:rPr>
          <w:b/>
        </w:rPr>
        <w:t>E. 4.1.1</w:t>
      </w:r>
    </w:p>
    <w:p>
      <w:r>
        <w:t>Sobald das Ausmass der Erwerbsunfähigkeit durch Vorbescheid oder Verfügung der andern Sozialversicherung feststeht, endet die Vorleistungspflicht der Arbeitslosenversicherung und der versicherte Verdienst ( Art. 23 Abs. 1 AVIG in Verbindung mit Art. 40b AVIV ) wird rückwirkend auf den Zeitpunkt der Einschränkung der Erwerbsunfähigkeit angepasst ( BGE 136 V 95 E. 7.1 S. 101; BGE 132 V 357 ; SVR 2014 ALV Nr. 12 S. 37, 8C_53/2014).</w:t>
      </w:r>
    </w:p>
    <w:p>
      <w:r>
        <w:rPr>
          <w:b/>
        </w:rPr>
        <w:t>E. 4.1.2</w:t>
      </w:r>
    </w:p>
    <w:p>
      <w:r>
        <w:t>Werden keine Einwände gegen den Vorbescheid erhoben (vgl. Art. 57a IVG in Verbindung mit Art. 73 ter IVV [SR 831.201]) oderbleibt die Verfügung unbestritten, endet der Schwebezustand, da damit der Erwerbsunfähigkeitsgrad feststeht. Daher kann zum selben Zeitpunkt die (rückwirkende) Anpassung des versicherten Verdienstes an die verbleibende Erwerbsfähigkeit erfolgen. In Bezug auf das Ende des Schwebezustandes besteht weiter dann kein Anlass, eine Verfügung über den Rentenanspruch abzuwarten, wenn bereits vor oder mit dem Vorbescheid eine vollständige Erwerbsunfähigkeit mit offensichtlicher Vermittlungsunfähigkeit feststeht (ARV 2014 S. 210, 8C_53/2014 E. 4.2).</w:t>
      </w:r>
    </w:p>
    <w:p>
      <w:r>
        <w:rPr>
          <w:b/>
        </w:rPr>
        <w:t>E. 4.1.3</w:t>
      </w:r>
    </w:p>
    <w:p>
      <w:r>
        <w:t>Ferner ist es möglich, dass das Ende des Schwebezustandes und der Zeitpunkt der Anpassung des versicherten Verdienstes auseinanderfallen. Dies betrifft vor allem Fälle, wo nach erfolgter Anfechtung der Verfügung über den Rentenanspruch das exakte Ausmass der Erwerbsunfähigkeit noch nicht geklärt ist und die Schwebe bis zum rechtskräftigen Entscheid im Verfahren der Invalidenversicherung anhält (vgl. den in ARV 2015 S. 157, 8C_401/2014 E. 2-4 beurteilten Sachverhalt). Hier kann eine Anpassung des versicherten BGE 145 V 399 S. 405 Verdiensts aber nur dann erfolgen, wenn die Arbeitslosenkasse und die versicherte Person sich bereits über ein Mindestmass des Invaliditätsgrades einig sind. In diesem Umfang des von der Sozialversicherung ermittelten Invaliditätsgrades kann der versicherte Verdienst bereits korrigiert werden, um so einen Ausgleich zur weiter andauernden Vorleistungspflicht zu schaffen ( BGE 142 V 380 E. 5.2.2 S. 386 f.). Zusammenfassend bildet somit grundsätzlich erst die (noch nicht rechtskräftige) Verfügung der Invalidenversicherung oder einer anderen Sozialversicherung hinreichende Grundlage für die Anpassung des versicherten Verdienstes an den damit erkannten Grad der Erwerbsunfähigkeit oder zumindest an den nicht umstrittenen Prozentsatz des errechneten Invaliditätsgrades ( BGE 142 V 380 E. 5.5 S. 388).</w:t>
      </w:r>
    </w:p>
    <w:p>
      <w:r>
        <w:rPr>
          <w:b/>
        </w:rPr>
        <w:t>E. 4.2</w:t>
      </w:r>
    </w:p>
    <w:p>
      <w:r>
        <w:t>Aus der soeben dargelegten Rechtsprechung geht hervor, dass im Zeitpunkt des Vorbescheids eine Mindesthöhe des Invaliditätsgrades gerade dann noch nicht feststeht, wenn gegen den Vorbescheid - wie hier - Einwände erhoben wurden. Es ist ferner nicht erstellt, dass sich die Arbeitslosenkasse und der Versicherte über ein Mindestmass des Invaliditätsgrades einig wären.</w:t>
      </w:r>
    </w:p>
    <w:p>
      <w:r>
        <w:rPr>
          <w:b/>
        </w:rPr>
        <w:t>E. 4.3</w:t>
      </w:r>
    </w:p>
    <w:p>
      <w:r>
        <w:t>Damit liegt keine der skizzierten Ausnahmen vor, um bereits mit dem Vorbescheid den Schwebezustand enden zu lassen. Erst die Verfügung der IV-Stelle vom 7. September 2018 bildet hinreichende Grundlage zur Anpassung des versicherten Verdienstes nach Art. 40b AVIV . Denn - entgegen der Ansicht der Beschwerdeführerin und des SECO - schliesst nicht der verwaltungsinterne Beschluss über einen Anspruch auf Invalidenrente das Vorbescheidverfahren nach Art. 57a Abs. 1 IVG ab, sondern die Verfügung über den Leistungsanspruch ( Art. 57a Abs. 1 IVG sowie Art. 73 bis und 73 ter IVV ). Dass hier über den Leistungsanspruch ohne Verfügung im Sinne von Art. 74 ter IVV hätte entschieden werden können, behauptet die Beschwerdeführerin überdies zu Recht nicht. Die IV-Stelle eröffnete dem Versicherten (vgl. Art. 76 IVV ) ihren Beschluss ( Art. 74 IVV ) vielmehr korrekt mittels anfechtbarer Verfügung (vgl. Rz. 3008 des Kreisschreibens des Bundesamtes für Sozialversicherungen [BSV] über das Verfahren in der Invalidenversicherung [KSVI], gültig ab 1. Januar 2010 [Stand 1. Januar 2018; www.sozialversicherungen.admin.ch/de/d/6440 ]).</w:t>
      </w:r>
    </w:p>
    <w:p>
      <w:r>
        <w:rPr>
          <w:b/>
        </w:rPr>
        <w:t>E. 4.4</w:t>
      </w:r>
    </w:p>
    <w:p>
      <w:r>
        <w:t>Wie das kantonale Gericht bereits ausführte, entfaltet der rein verwaltungsinterne Beschluss über das Leistungsbegehren keine BGE 145 V 399 S. 406 verbindliche Aussenwirkung gegenüber dem Versicherten im Sinne eines hoheitlichen, rechtsgestaltenden Verwaltungsaktes. Mit der nicht an den Versicherten adressierten Mitteilung über den Beschluss wird im Rahmen des Verwaltungsablaufs vielmehr die Ausgleichskasse aufgefordert, die Rente entsprechend den Vorgaben der Invalidenversicherung zu berechnen ( Art. 60 Abs. 1 lit. b IVG ). Die daran anschliessende, an die versicherte Person gerichtete Verfügung umfasst zwei Teile, nämlich einerseits die grundsätzliche Leistungspflicht, worüber die IV-Stelle zu befinden hat, anderseits die Berechnung des Rentenbetrags, der von der Ausgleichskasse festgesetzt wird. Schliesst erst diese Verfügung der IV-Stelle das Verwaltungsverfahren ab ( Art. 57 Abs. 1 lit. g IVG ; vgl. auch Art. 76 Abs. 1 IVV sowie Rz. 3033 und 3045 ff. KSVI), hat die IV-Stelle auch den (medizinischen) Sachverhalt bis zum Erlass der Verfügung festzustellen (vgl. URS MÜLLER, Das Verwaltungsverfahren in der Invalidenversicherung, 2010, S. 426 Rz. 2171 und S. 429 Rz. 2186). Da eine Änderung der tatsächlichen Verhältnisse bis dahin eintreten kann, legt der Beschluss der IV-Stelle den Invaliditätsgrad nicht fest. Der Ausgang des Verfahrens ist aufgrund der möglicherweise durchzuführenden weiteren Beweismassnahmen ungewiss. Dies muss umso mehr gelten, wenn, wie vorliegend, zwischen der Beschlussfassung der IV-Stelle vom 30. April 2018 und ihrer Verfügung vom 7. September 2018 ein Zeitraum von rund vier Monaten liegt. Die Verwaltung ist somit nicht verpflichtet, gemäss dem Vorbescheid zu verfügen, weshalb in der Verfügung auch ein tieferer Invaliditätsgrad als der im Vorbescheid angezeigte festgestellt werden darf ( BGE 142 V 380 E. 5.3 S. 387).</w:t>
      </w:r>
    </w:p>
    <w:p>
      <w:r>
        <w:rPr>
          <w:b/>
        </w:rPr>
        <w:t>E. 4.5</w:t>
      </w:r>
    </w:p>
    <w:p>
      <w:r>
        <w:t>Daraus ergibt sich, dass es jedenfalls fehl geht, neben den skizzierten Ausnahmen für die Beendigung des Schwebezustands durch den Vorbescheid, auch die verwaltungsinterne Mitteilung an die Ausgleichskasse vom 30. April 2018 hierfür gelten zu lassen. Diese Mitteilung bildet keine hinreichende Grundlage, um damit in Beendigung des Schwebezustands in den Leistungsanspruch auf Arbeitslosenentschädigung rechtsgestaltend durch Korrektur des versicherten Verdienstes einzugreifen. Zu betonen ist, dass die Arbeitslosenversicherung für die Zeit, in welcher der Anspruch auf Leistungen einer anderen Versicherung abgeklärt wird, vorleistungspflichtig ist, um Lücken im Erwerbsersatz zu vermeiden. Die Rechtsprechung zur Beendigung dieser Vorleistungspflicht zielt darauf ab, dass die Arbeitslosenkasse sobald als möglich, nämlich dann, wenn der BGE 145 V 399 S. 407 Erwerbsunfähigkeitsgrad feststeht, die notwendige Leistungsanpassung vornehmen kann. Diese Anpassung, je nach Fallkonstellation, auch im Zeitpunkt eines verwaltungsinternen Beschlusses zuzulassen, ginge zulasten der Rechtssicherheit und der Praktikabilität im Verwaltungsverfahren. Von der grundsätzlichen Beendigung des Schwebezustands durch Erlass der Verfügung der IV-Stelle ist daher nicht abzuweichen, zumal hieraus der Arbeitslosenkasse, wie sich aus der nachstehenden Erwägung ergibt (nicht publ. E. 5), kein Rechtsnachteil erwächst.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