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282</w:t>
      </w:r>
    </w:p>
    <w:p>
      <w:r>
        <w:t>Bundesgericht (BGE), 2018-11-25, DE</w:t>
      </w:r>
    </w:p>
    <w:p>
      <w:r>
        <w:rPr>
          <w:b/>
        </w:rPr>
        <w:t xml:space="preserve">Quelle: </w:t>
      </w:r>
      <w:r>
        <w:t>https://mcp.opencaselaw.ch/entscheid/bge_BGE_145_I_282</w:t>
      </w:r>
    </w:p>
    <w:p>
      <w:r>
        <w:t>FR: ATF 145 I 282</w:t>
      </w:r>
    </w:p>
    <w:p>
      <w:r>
        <w:t>IT: DTF 145 I 282</w:t>
      </w:r>
    </w:p>
    <w:p>
      <w:pPr>
        <w:pStyle w:val="Heading2"/>
      </w:pPr>
      <w:r>
        <w:t>Regeste</w:t>
      </w:r>
    </w:p>
    <w:p>
      <w:r>
        <w:t>Regeste Art. 34 Abs. 1 und 2 BV, Art. 82 lit. c und Art. 89 Abs. 3 BGG, Art. 10a und Art. 77 Abs. 2 BPR; Interventionen eines Bundesamts sowie einer öffentlich-rechtlichen Anstalt in den Abstimmungskampf im Vorfeld der eidgenössischen Volksabstimmung vom 25. November 2018 über die Änderung des ATSG. Die kritisierten Publikationen des BSV und der Suva stellen Interventionen in den Abstimmungskampf dar und können Gegenstand einer Beschwerde in Stimmrechtssachen sein (E. 2.2.2). Die für den Beschwerdeführer massgebliche Frist von drei Tagen für die Anfechtung der beanstandeten Akte bei der Kantonsregierung lief erst ab Kenntnisnahme der Verfügung der Bundeskanzlei über das Zustandekommen des Referendums (E. 3). Verpflichtung der Behörden sowie von öffentlich beherrschten Unternehmen auf korrekte und zurückhaltende Information im Vorfeld von Abstimmungen (E. 4). Überprüfung der kritisierten Publikationen des BSV (E. 5) sowie der Suva (E. 6).</w:t>
      </w:r>
    </w:p>
    <w:p>
      <w:r>
        <w:t>Regeste Art. 34 al. 1 et 2 Cst., art. 82 let. c et art. 89 al. 3 LTF, art. 10a et art. 77 al. 2 LDP; interventions d'un office fédéral ainsi qu'un établissement de droit public dans la campagne en vue de la votation populaire du 25 novembre 2018 concernant la modification de la LPGA. Les publications contestées, qui émanent de l'OFAS et de la Suva, constituent des interventions dans le cadre de la campagne de votation et peuvent faire l'objet d'un recours en matière de droits politiques (consid. 2.2.2). Le délai de trois jours pour contester les publications incriminées auprès du gouvernement cantonal ne courait qu'à partir de la prise de connaissance par le recourant de la décision de la Chancellerie fédérale constatant l'aboutissement de la demande de référendum (consid. 3). Devoir des autorités ainsi que des entreprises contrôlées par une collectivité publique quant à une information correcte et mesurée dans le contexte d'une votation (consid. 4). Examen des publications reprochées à l'OFAS (consid. 5) ainsi qu'à la Suva (consid. 6).</w:t>
      </w:r>
    </w:p>
    <w:p>
      <w:r>
        <w:t>Regesto Art. 34 cpv. 1 e 2 Cost., art. 82 lett. c e art. 89 cpv. 3 LTF, art. 10a e art. 77 cpv. 2 LDP; interventi di un Ufficio federale nonché di un istituto di diritto pubblico nella campagna precedente la votazione popolare del 25 novembre 2018 sulla modifica della LPGA. Le criticate pubblicazioni dell'UFAS e della Suva costituiscono interventi nella campagna precedente la votazione e possono essere oggetto di un ricorso concernente il diritto di voto (consid. 2.2.2 ). Il termine di tre giorni, determinante per il ricorrente per impugnare i contestati atti dinanzi al Governo cantonale, iniziava a decorrere soltanto dalla conoscenza della decisione della Cancelleria federale sulla riuscita del referendum (consid. 3). Obbligo delle autorità nonché delle imprese controllate da una collettività pubblica a un'informazione corretta e prudente nelle campagne che precedono le votazioni (consid. 4). Esame delle criticate pubblicazioni dell'UFAS (consid. 5) nonché della Suva (consid. 6).</w:t>
      </w:r>
    </w:p>
    <w:p>
      <w:pPr>
        <w:pStyle w:val="Heading2"/>
      </w:pPr>
      <w:r>
        <w:t>Erwägungen</w:t>
      </w:r>
    </w:p>
    <w:p>
      <w:r>
        <w:rPr>
          <w:b/>
        </w:rPr>
        <w:t>E. 2</w:t>
      </w:r>
    </w:p>
    <w:p>
      <w:r>
        <w:t>(...)</w:t>
      </w:r>
    </w:p>
    <w:p>
      <w:r>
        <w:rPr>
          <w:b/>
        </w:rPr>
        <w:t>E. 2.2</w:t>
      </w:r>
    </w:p>
    <w:p>
      <w:r>
        <w:t>Die Beschwerde (...) zielte darauf ab, die weitere Verbreitung von bestimmten, den Gegenstand der eidgenössischen Volksabstimmung über die Änderung des ATSG betreffenden Dokumenten durch das BSV und die Suva zu verhindern. Ausserdem soll das Bundesgericht feststellen, dass es sich hierbei um irreführende und damit unzulässige Informationen handle. (...)</w:t>
      </w:r>
    </w:p>
    <w:p>
      <w:r>
        <w:rPr>
          <w:b/>
        </w:rPr>
        <w:t>E. 2.2.2</w:t>
      </w:r>
    </w:p>
    <w:p>
      <w:r>
        <w:t>Bei den vom Beschwerdeführer kritisierten Dokumenten des BSV sowie der Suva handelt es sich um Akte, die im Sinne von Art. 82 lit. c BGG Gegenstand einer Beschwerde in Stimmrechtssachen sein können. Daran ändert unter den gegebenen Umständen die Tatsache nichts, dass die Dokumente publiziert wurden, noch bevor die Bundeskanzlei das Zustandekommen des Referendums feststellte. Die beanstandeten Informationen waren unbestritten auch zum Zeitpunkt des Zustandekommens des Referendums und darüber hinaus auf der Internetseite des BSV bzw. der Suva abrufbar. Sie waren BGE 145 I 282 S. 285 sodann darauf ausgelegt, die Stimmberechtigten im Hinblick auf die (wahrscheinlich) bevorstehende Referendumsabstimmung bei der Willensbildung zu unterstützen. Damit sind die beiden kritisierten Publikationen als Interventionen in den Abstimmungskampf zu betrachten, die den entsprechenden gesetzlichen und verfassungsrechtlichen Vorgaben zu entsprechen hatten.</w:t>
      </w:r>
    </w:p>
    <w:p>
      <w:r>
        <w:rPr>
          <w:b/>
        </w:rPr>
        <w:t>E. 2.2.3</w:t>
      </w:r>
    </w:p>
    <w:p>
      <w:r>
        <w:t>Nachdem die eidgenössische Volksabstimmung über die Änderung des ATSG am 25. November 2018 stattgefunden hat, ist die Beschwerde gegenstandslos geworden, soweit der Beschwerdeführer damit die weitere Verbreitung von bestimmten Dokumenten verhindern wollte. Allerdings werden gegen Vorbereitungshandlungen von Abstimmungen gerichtete Beschwerden als gegen die Abstimmung gerichtet verstanden, wenn der Urnengang in der Zwischenzeit stattgefunden hat (Urteil 1C_216/2018 vom 10. Dezember 2018 E. 1, nicht publ. in: BGE 145 I 175 ; Urteile 1C_163/2018 / 1C_239/2018 vom 29. Oktober 2018 E. 2.2, nicht publ. in: BGE 145 I 1 ; 1C_632/ 2017 vom 5. März 2018 E. 1.1 mit Hinweisen). In diesem Sinne ist die Beschwerde (...) entgegenzunehmen, zumal der Beschwerdeführer an einer Aufhebung des Resultats der Volksabstimmung über die Änderung des ATSG ein aktuelles praktisches Interesse hat, nachdem die Vorlage gemäss vorläufigem amtlichem Endergebnis von den Stimmberechtigten angenommen wurde. Zulässig ist auch der Antrag auf Feststellung einer Verletzung von Art. 34 BV , weil das Bundesgericht im Rahmen von Art. 107 Abs. 2 BGG unter bestimmten Umständen eine Verletzung der politischen Rechte förmlich feststellen kann, ohne den betreffenden Urnengang aufzuheben (vgl. Urteile 1C_213/2017 vom 18. Dezember 2017 E. 1.2 sowie 1C_511/2015 vom 12. Oktober 2016 E. 1.4, nicht publ. in: BGE 143 I 92 ).</w:t>
      </w:r>
    </w:p>
    <w:p>
      <w:r>
        <w:rPr>
          <w:b/>
        </w:rPr>
        <w:t>E. 2.2.4</w:t>
      </w:r>
    </w:p>
    <w:p>
      <w:r>
        <w:t>Das als juristische Person organisierte Referendumskomitee ist nach Art. 89 Abs. 3 BGG zur Beschwerde in Stimmrechtssachen legitimiert (vgl. BGE 134 I 172 E. 1.3.1 S. 175; Urteil 1C_127/2013 vom 28. August 2013 E. 2.1, nicht publ. in: BGE 139 I 292 ). Da auch die weiteren Sachurteilsvoraussetzungen erfüllt sind, ist auf die Beschwerde im Verfahren 1C_389/2018 - soweit sie nicht gegenstandslos geworden ist - einzutreten. (...)</w:t>
      </w:r>
    </w:p>
    <w:p>
      <w:r>
        <w:rPr>
          <w:b/>
        </w:rPr>
        <w:t>E. 3</w:t>
      </w:r>
    </w:p>
    <w:p>
      <w:r>
        <w:t>Der Beschwerdeführer erhob die erste Abstimmungsbeschwerde an den Regierungsrat am 23. Juli 2018, nachdem er die Verfügung der Bundeskanzlei über das Zustandekommen des Referendums am BGE 145 I 282 S. 286 18. Juli 2018 zur Kenntnis genommen hatte. Die Vorinstanz liess in ihrem Nichteintretensentscheid vom 2. August 2018 ausdrücklich offen, ob die Beschwerde vom 23. Juli 2018 im Sinne von Art. 77 Abs. 2 des Bundesgesetzes vom 17. Dezember 1976 über die politischen Rechte (BPR; SR 161.1) rechtzeitig innert drei Tagen seit Entdeckung des Beschwerdegrundes eingereicht worden sei. In ihrer Vernehmlassung ans Bundesgericht wirft auch die Bundeskanzlei die Frage auf, ob die Beschwerdeerhebung am 23. Juli 2018 rechtzeitig erfolgte, nachdem die beanstandeten Informationen bereits am 26. Juni bzw. 5. Juli 2018 publiziert worden seien und der Bundesrat unter Vorbehalt des Zustandekommens des Referendums den Termin für die Abstimmung über die Änderung des ATSG bereits am 4. Juli 2018 festgelegt habe. Nach der Rechtsprechung des Bundesgerichts sind Mängel im Vorfeld von Wahlen und Abstimmungen sofort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 BGE 140 I 338 E. 4.4 S. 341 mit Hinweisen). In BGE 140 I 338 hat das Bundesgericht im Rahmen einer Beschwerde im Vorfeld einer eidgenössischen Volksinitiative die Frage offengelassen, ob von den Stimmberechtigten verlangt werden kann, Unregelmässigkeiten mit Abstimmungsbeschwerde innert drei Tagen zu beanstanden, wenn zwar das Zustandekommen der Volksinitiative feststeht, aber der Abstimmungstermin noch nicht amtlich bekannt ist (a.a.O., E. 4.4). Von den Stimmberechtigten kann jedenfalls nicht verlangt werden, Unregelmässigkeiten im Vorfeld einer Referendumsabstimmung mit Abstimmungsbeschwerde innert drei Tagen zu beanstanden, bevor nur schon das Zustandekommen des Referendums feststeht. Die für den Beschwerdeführer für die Anfechtung der beanstandeten Akte massgebliche Frist von drei Tagen gemäss Art. 77 Abs. 2 BPR lief somit frühestens ab Kenntnisnahme der Verfügung der Bundeskanzlei vom 16. Juli 2018 über das Zustandekommen des Referendums und somit ab dem 18. Juli 2018. Unter Berücksichtigung des Wochenendes vom 21./22. Juli 2018 hat der Beschwerdeführer die Frist von Art. 77 Abs. 2 BPR mit seiner Eingabe an den Regierungsrat vom 23. Juli 2018 gewahrt.</w:t>
      </w:r>
    </w:p>
    <w:p>
      <w:r>
        <w:rPr>
          <w:b/>
        </w:rPr>
        <w:t>E. 4</w:t>
      </w:r>
    </w:p>
    <w:p>
      <w:r>
        <w:t>Der Beschwerdeführer rügt, verschiedene behördliche Interventionen im Vorfeld der eidgenössischen Volksabstimmung vom 25. November BGE 145 I 282 S. 287 2018 über die Änderung vom 16. März 2018 des ATSG stünden im Widerspruch zur in Art. 34 Abs. 2 BV verankerten Abstimmungsfreiheit.</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145 I 1 E. 4.1 S. 5, BGE 145 I 207 E. 2.1 S. 215; BGE 143 I 78 E. 4.3 S. 82; BGE 140 I 338 E. 5 S. 341 f. mit Hinweisen). Aus Art. 34 Abs. 2 BV wird namentlich eine Verpflichtung der Behörden auf korrekte und zurückhaltende Information im Vorfeld von Abstimmungen abgeleitet. Aus Art. 34 Abs. 2 BV ergeben sich im Vorfeld von Abstimmungen sodann auch Einschränkungen für Unternehmen, die - unabhängig von ihrer Organisationsform - direkt oder indirekt unter dem bestimmenden Einfluss eines Gemeinwesens stehen ( BGE 145 I 1 E. 4.1 S. 5; BGE 140 I 338 E. 5.2 f. S. 342 f.).</w:t>
      </w:r>
    </w:p>
    <w:p>
      <w:r>
        <w:rPr>
          <w:b/>
        </w:rPr>
        <w:t>E. 4.2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S. 5, BGE 145 I 207 E. 4.1 S. 222; BGE 141 I 221 E. 3.3 S. 225; BGE 138 I 61 E. 4.7.2 S. 78; BGE 135 I 292 E. 4.4 S. 301; Urteil des Bundesgerichts 1C_641/2013 vom 24. März 2014 E. 4.3, in: ZBl 115/2014 S. 612; je mit Hinweisen). BGE 145 I 282 S. 288</w:t>
      </w:r>
    </w:p>
    <w:p>
      <w:r>
        <w:rPr>
          <w:b/>
        </w:rPr>
        <w:t>E. 4.3</w:t>
      </w:r>
    </w:p>
    <w:p>
      <w:r>
        <w:t>Der Beschwerdeführer kritisiert einerseits eine Publikation des BSV und damit einer Bundesbehörde. Darauf ist in Erwägung 5 einzugehen. Andererseits beanstandet er eine Publikation der Suva. Darauf ist in Erwägung 6 zurückzukommen.</w:t>
      </w:r>
    </w:p>
    <w:p>
      <w:r>
        <w:rPr>
          <w:b/>
        </w:rPr>
        <w:t>E. 5</w:t>
      </w:r>
    </w:p>
    <w:p>
      <w:r>
        <w:t>Das BSV informierte auf seiner Internetseite im Dokument "Fragen und Antworten - Gesetzliche Grundlagen für die Überwachung von Versicherten" (nachfolgend: Dokument "Fragen und Antworten") im Frage-Antwort-Stil über den Inhalt und die Bedeutung der neu ins ATSG aufgenommenen Bestimmungen. Die insgesamt 18 Fragen und Antworten wurden eingeteilt in "Allgemeine Fragen", "Voraussetzungen und Einschränkungen für Observationen" sowie "Verfahren und Rechte der Versicherten". Der Beschwerdeführer erblickt in dem vom BSV veröffentlichten Dokument eine unzulässige behördliche Intervention in den Abstimmungskampf, da das Dokument unsachlich und irreführend über den Abstimmungsgegenstand informiere.</w:t>
      </w:r>
    </w:p>
    <w:p>
      <w:r>
        <w:rPr>
          <w:b/>
        </w:rPr>
        <w:t>E. 5.1</w:t>
      </w:r>
    </w:p>
    <w:p>
      <w:r>
        <w:t>Bei Sachabstimmungen im eigenen Gemeinwesen kommt den Behörden eine gewisse Beratungsfunktion zu. Diese nehmen sie mit der Redaktion der Abstimmungserläuterungen, aber auch in anderer Form wahr. Die Behörden sind dabei nicht zur Neutralität verpflichtet und dürfen eine Abstimmungsempfehlung abgeben. In Einzelfällen ergibt sich aus Art. 34 Abs. 2 BV sogar eine Pflicht der Behörden zur Information ( BGE 145 I 1 E. 5.2.1 S. 9, BGE 145 I 175 E. 5.1 S. 177; BGE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S. 9 f., BGE 145 I 175 E. 5.1 S. 177; BGE 140 I 338 E. 5.1 S. 342 mit Hinweisen). Das Gebot der Sachlichkeit verbietet, über den Zweck und die Tragweite einer Vorlage falsch zu orientieren, für die Meinungsbildung bedeutende Gegebenheiten zu verschweigen oder Argumente von gegnerischen Referendums- oder Initiativkomitees falsch wiederzugeben. Bei negativen Bewertungen (z.B. von Argumenten des Referendumskomitees) müssen hierfür gute Gründe bestehen ( BGE 140 I 338 E. 7.3 S. 348 mit Hinweisen). Für Abstimmungen auf Bundesebene sieht Art. 10a BPR vor, dass der Bundesrat die Stimmberechtigten kontinuierlich über die BGE 145 I 282 S. 289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nicht die Frage der Zulässigkeit einer behördlichen Intervention im Vordergrund steht, sondern vielmehr deren Art und Wirkung (vgl. BGE 145 I 1 E. 5.2.1 S. 10, BGE 145 I 175 E. 5.1 S. 177; BGE 143 I 78 E. 4.4 S. 83 mit Hinweisen).</w:t>
      </w:r>
    </w:p>
    <w:p>
      <w:r>
        <w:rPr>
          <w:b/>
        </w:rPr>
        <w:t>E. 5.2</w:t>
      </w:r>
    </w:p>
    <w:p>
      <w:r>
        <w:t>Das Bundesamt für Sozialversicherungen (BSV) untersteht dem Departement des Innern (EDI) und ist die Fachbehörde des Bundes für die soziale Sicherheit (Art. 11 Abs. 1 der Organisationsverordnung vom 28. Juni 2000 für das Eidgenössische Departement des Innern [OV-EDI; SR 172.212.1]). Die Departemente informieren über ihre Tätigkeit in Absprache und Zusammenarbeit mit der Bundeskanzlei und regeln die Informationsaufgaben der ihnen untergeordneten Einheiten (Art. 23 Abs. 1 und 2 der Regierungs- und Verwaltungsorganisationsverordnung vom 25. November 1998 [RVOV; SR 172.010.1] i.V.m. Art. 40 RVOG [SR 172.010]). Zu den Funktionen des BSV gehört unter anderem, für die Politik Entscheidgrundlagen und Dokumentationen über die soziale Sicherheit bereitzustellen und im Bereich der Sozialversicherungen zu informieren sowie zu beraten ( Art. 11 Abs. 3 lit. b und c OV-EDI ). Zu Recht bestreitet der Beschwerdeführer nicht, dass das BSV zuständig und berechtigt war, unter der Führung des EDI über den Inhalt und die Bedeutung der Änderung des ATSG zu informieren. Dabei hatte das BSV im Hinblick auf die bevorstehende Referendumsabstimmung die in Art. 34 Abs. 2 BV verankerte Abstimmungsfreiheit zu beachten und sich insbesondere an den in Art. 10a BPR für den Bundesrat explizit festgehaltenen Informationsgrundsätzen zu orientieren.</w:t>
      </w:r>
    </w:p>
    <w:p>
      <w:r>
        <w:rPr>
          <w:b/>
        </w:rPr>
        <w:t>E. 5.3</w:t>
      </w:r>
    </w:p>
    <w:p>
      <w:r>
        <w:t>Der Beschwerdeführer erachtet verschiedene Textpassagen des Dokuments "Fragen und Antworten" als unsachlich. Er kritisiert zusammengefasst, das BSV unterschlage, dass die neuen Bestimmungen des ATSG Observationen nicht nur bei der Unfall- und der Invalidenversicherung ermöglichten, sondern auch bei weiteren Sozialversicherungen des Bundes, wo sie bisher nicht eingesetzt worden seien. BGE 145 I 282 S. 290 Das BSV verschweige auch, dass der Wortlaut des Gesetzes nicht nur technische Geräte zur Standortbestimmung zulasse, sondern auch Nachtsichtgeräte, Richtmikrofone oder Drohnen, und diese sogar ohne richterliche Genehmigung. Das BSV habe sodann nicht darüber informiert, dass die Versicherungsträger selber entscheiden könnten, wann und wo überwacht werde sowie dass das aus einer Observation stammende Material auch von einem anderen Versicherungsträger verwendet werden dürfe. Ausserdem werde aus der Information des BSV nicht klar, wogegen sich ein Versicherter vor dem Richter nachträglich genau wehren könne. Der Beschwerdeführer stört sich sodann an der Formulierung, wonach Observationen lediglich als ultima ratio vorgesehen seien. Weiter kritisiert der Beschwerdeführer die Aussage, wonach die Polizei nur Straftatbestände kläre, während die Klärung von Voraussetzungen zur Ausrichtung von Versicherungsleistungen ausserhalb ihrer Kompetenz liege. Richtig sei, dass der objektive Tatbestand von Art. 148a StGB alle Formen des unerlaubten Bezugs von Sozialversicherungsleistungen umfasse. Daneben bleibe kein Platz für eine spezifisch sozialversicherungsrechtliche Sichtweise. Ausserdem verschweige das BSV, dass die Kompetenzen der Versicherer weiter gingen als diejenigen der Polizei. Das BSV übergehe, dass Versicherte gemäss den neuen Bestimmungen auch in Privaträumen gefilmt werden dürften, soweit sich die observierende Person auf öffentlichem Grund befinde und die Privaträume von dort aus frei einsehbar seien.</w:t>
      </w:r>
    </w:p>
    <w:p>
      <w:r>
        <w:rPr>
          <w:b/>
        </w:rPr>
        <w:t>E. 5.4.1</w:t>
      </w:r>
    </w:p>
    <w:p>
      <w:r>
        <w:t>Im Gegensatz zur Ansicht des Beschwerdeführers hat das umstrittene Dokument die interessierten Stimmberechtigten in sachlich gehaltener Form und Sprache über die neuen Bestimmungen des ATSG orientiert. Es ist nicht zu beanstanden, dass sich das BSV im Dokument "Fragen und Antworten" nicht zu allen vom Beschwerdeführer angesprochenen Details der Gesetzesvorlage geäussert hat. Dies gilt umso mehr, als es sich beim Dokument "Fragen und Antworten" lediglich um einen Ausschnitt der gesamten Informationen zur Gesetzesänderung auf der Internetseite des BSV handelt. Dieses Dokument bildete Bestandteil einer umfangreicheren Dokumentation zur Revision des ATSG mit dem Titel "Observation durch die Sozialversicherungen". Die Dokumentation bestand aus einem einleitenden Text, einem ausführlicheren Hintergrunddokument vom 8. August BGE 145 I 282 S. 291 2018, dem bereits erwähnten Dokument "Fragen und Antworten" vom 25. Juni 2018 sowie weiterführenden Hinweisen ("Links"). Unter anderem wurde im einleitenden Text sowie im Hintergrunddokument vom 8. August 2018 ausdrücklich erklärt, dass der Geltungsbereich der neuen Bestimmungen grundsätzlich alle Sozialversicherungen des Bundes umfasse, d.h. auch Versicherungen, bei denen bisher keine Observationen durchgeführt wurden. Etwas störend mag sein, dass das Hintergrunddokument vom 8. August 2018 nicht gleichzeitig mit dem Dokument "Fragen und Antworten" auf der Internetseite des BSV publiziert wurde. Im Hinblick auf den Abstimmungstermin vom 25. November 2018 erfolgte die Publikation Anfang August indessen noch früh genug und ist dem BSV nicht vorzuwerfen, dass es den interessierten Stimmberechtigten noch ergänzende Informationen zur Abstimmungsvorlage zur Verfügung gestellt hat.</w:t>
      </w:r>
    </w:p>
    <w:p>
      <w:r>
        <w:rPr>
          <w:b/>
        </w:rPr>
        <w:t>E. 5.4.2</w:t>
      </w:r>
    </w:p>
    <w:p>
      <w:r>
        <w:t>Die vom Beschwerdeführer erhobene Kritik gründet teilweise darin, dass sich das Dokument "Fragen und Antworten" nicht durchwegs auf den Gesetzeswortlaut alleine bezieht, sondern dass den Antworten teilweise die Auslegung der Gesetzesbestimmungen zu Grunde liegt, wie sie vom Bundesrat sowie der die Gesetzesänderung befürwortenden Mehrheit der Mitglieder der Bundesversammlung im Gesetzgebungsprozess vertreten wurde. Dies gilt beispielsweise für die Aussagen, wonach Richtmikrofone oder Nachtsichtkameras sowie Drohnen bei Observationen nicht erlaubt seien und wonach Vorgänge in geschlossenen, gegen den Einblick Aussenstehender abgeschirmten Räumen und Örtlichkeiten von der Strasse aus nicht fotografiert oder gefilmt werden dürften. Zwar wäre es wünschenswert gewesen, das BSV hätte im Dokument "Fragen und Antworten" darauf hingewiesen, die von ihm vertretene Auffassung ergebe sich nicht durchwegs zwingend aus dem Wortlaut der neuen Bestimmungen, sondern sei mindestens teilweise das dem Willen des Gesetzgebers entsprechende Ergebnis ihrer Auslegung. Eine irreführende Information der Stimmberechtigten ist in den kritisierten Textpassagen jedoch nicht zu erblicken, zumal der Umstand, dass der Wortlaut der neuen Bestimmungen allenfalls auch anders verstanden werden könnte, die Ausführungen des BSV nicht per se als unsachlich oder irreführend erscheinen lässt. Im Übrigen ist darauf hinzuweisen, dass der Entwurf des Bundesrats vom 7. Juni 2019 zu den Änderungen der Verordnung über den Allgemeinen BGE 145 I 282 S. 292 Teil des Sozialversicherungsrechts (E-ATSV; www.bsv.admin. ch/bsv/de/home/sozialversicherungen /ueberblick/observationen.html, [besucht am 3. Juli 2019]) der vom BSV im Vorfeld der Abstimmung vom 25. November 2018 vertretenen Gesetzesauslegung Rechnung trägt. Namentlich hat der Bundesrat im Verordnungsabschnitt "Durchführung der Observation" im Sinne der vom BSV vertretenen Auffassung detailliert geregelt, an welchen Orten und mit welchen Mitteln Observationen zulässig bzw. unzulässig sind (vgl. Art. 7h und 7i E-ATSV).</w:t>
      </w:r>
    </w:p>
    <w:p>
      <w:r>
        <w:rPr>
          <w:b/>
        </w:rPr>
        <w:t>E. 5.4.3</w:t>
      </w:r>
    </w:p>
    <w:p>
      <w:r>
        <w:t>Nicht zu beanstanden sind schliesslich die Ausführungen des BSV im Dokument "Fragen und Antworten" zum Verhältnis zwischen dem Strafrecht und dem Sozialversicherungsrecht. Zu Recht hat das BSV darauf hingewiesen, dass Versicherer und Strafverfolgungsbehörden unterschiedliche Funktionen ausüben und die mit den neuen Bestimmungen des ATSG ermöglichte Observation von Versicherten nicht unmittelbar der Aufklärung von Straftaten dient, sondern der Abklärung, ob ein Anspruch auf Versicherungsleistungen besteht oder nicht.</w:t>
      </w:r>
    </w:p>
    <w:p>
      <w:r>
        <w:rPr>
          <w:b/>
        </w:rPr>
        <w:t>E. 5.5</w:t>
      </w:r>
    </w:p>
    <w:p>
      <w:r>
        <w:t>Als Zwischenergebnis ist festzuhalten, dass das vom BSV am 25. Juni 2018 auf seiner Internetseite veröffentlichte Dokument "Fragen und Antworten - Gesetzliche Grundlagen für die Überwachung von Versicherten" jedenfalls unter Berücksichtigung der weiteren auf der Internetseite des BSV veröffentlichten Informationen keine unzulässige Intervention in den Abstimmungskampf darstellt und somit Art. 34 Abs. 2 BV nicht verletzt.</w:t>
      </w:r>
    </w:p>
    <w:p>
      <w:r>
        <w:rPr>
          <w:b/>
        </w:rPr>
        <w:t>E. 6</w:t>
      </w:r>
    </w:p>
    <w:p>
      <w:r>
        <w:t>Die Suva informierte auf ihrer Internetseite im Dokument "Faktencheck zum Observationsgesetz" (nachfolgend: Dokument "Faktencheck") über den Inhalt und die Bedeutung der neu ins ATSG aufgenommenen Bestimmungen. Das Dokument nimmt Bezug auf 15 in der Debatte über die Vorlage vorgebrachte Argumente, unterzieht diese einer Prüfung und bezeichnet die zitierten Argumente jeweils mit kurzer Begründung als richtig (1 mal) oder falsch (13 mal). In einem Fall lässt die Suva offen, ob das gegen die Vorlage vorgebrachte Argument zutreffend sei oder nicht. Neben den Textblöcken war bei den als falsch bezeichneten Aussagen ein umrandetes Kreuz in roter Farbe platziert, beim als richtig bezeichneten Argument ein umrandetes Häkchen in grüner Farbe und beim weder als richtig noch falsch bezeichneten Argument ein oranges Fragezeichen. Der Beschwerdeführer erachtet das von der Suva auf ihrer Internetseite BGE 145 I 282 S. 293 veröffentlichte Dokument "Faktencheck" als unsachlich und irreführend. Darüber hinaus wirft er die Frage auf, ob die Suva als öffentlich-rechtliches Unternehmen überhaupt berechtigt war, in den Abstimmungskampf einzugreifen.</w:t>
      </w:r>
    </w:p>
    <w:p>
      <w:r>
        <w:rPr>
          <w:b/>
        </w:rPr>
        <w:t>E. 6.1</w:t>
      </w:r>
    </w:p>
    <w:p>
      <w:r>
        <w:t>Nach der Rechtsprechung des Bundesgerichts sind Unternehmen, die - unabhängig von ihrer Organisationsform - direkt oder indirekt unter dem bestimmenden Einfluss eines Gemeinwesens stehen, grundsätzlich zur politischen Neutralität verpflichtet. Eine Stellungnahme im Vorfeld einer Abstimmung ist indessen im Einzelfall zulässig, wenn ein Unternehmen durch die Abstimmung besonders betroffen wird, namentlich in der Umsetzung seines gesetzlichen oder statutarischen Auftrags, und ähnlich einem Privaten in seinen wirtschaftlichen Interessen berührt wird. In diesen Fällen kann sich das Unternehmen grundsätzlich der auch sonst im Abstimmungskampf verwendeten Informationsmittel bedienen, doch muss es sich jedenfalls einer gewissen Zurückhaltung befleissigen. Ist es einem öffentlich beherrschten Unternehmen aufgrund seiner besonderen Betroffenheit erlaubt, in den Abstimmungskampf zu intervenieren, so ist es befugt, seinen eigenen Standpunkt zu vertreten. Es hat seine Interessen indessen in objektiver und sachlicher Weise zu vertreten und darf sich keiner verpönter oder verwerflicher Mittel bedienen. Dazu gehört auch, dass es nicht mit unverhältnismässigem Einsatz öffentlicher (z.B. durch die Ausnützung von rechtlichen oder faktischen Monopolen und Zwangstarifen erwirtschafteter) Mittel in den Abstimmungskampf eingreift. Die gebotene Zurückhaltung beurteilt sich damit in ähnlicher Weise, wie sie den Gemeinden aufgegeben ist, wenn sie ausnahmsweise in besonderer Weise betroffen und daher zur Intervention berechtigt sind (vgl. BGE 145 I 1 E. 7.2 S. 22; BGE 140 I 338 E. 5.2 S. 342 f. mit Hinweisen).</w:t>
      </w:r>
    </w:p>
    <w:p>
      <w:r>
        <w:rPr>
          <w:b/>
        </w:rPr>
        <w:t>E. 6.2</w:t>
      </w:r>
    </w:p>
    <w:p>
      <w:r>
        <w:t>Die Suva ist nach Art. 61 Abs. 1 UVG (SR 832.20) eine autonome Anstalt des öffentlichen Rechts mit eigener Rechtspersönlichkeit. Sie betreibt eine obligatorische Unfallversicherung für bestimmte Versichertenkategorien (vgl. Art. 61 Abs. 2 i.V.m. Art. 58 und 66 UVG ) und untersteht der durch den Bundesrat ausgeübten Oberaufsicht des Bundes ( Art. 61 Abs. 3 UVG ). Die Organe der Suva sind der Suva-Rat, die Geschäftsleitung sowie die Revisionsstelle ( Art. 62 UVG ). Dem Suva-Rat obliegt die Oberleitung der Suva gemäss Art. 63 Abs. 5 UVG . Er besteht aus 16 Vertretern der bei der Suva versicherten Arbeitnehmer, 16 Vertretern der Arbeitgeber, die bei der Suva versicherte Arbeitnehmer beschäftigen, sowie acht Vertretern des BGE 145 I 282 S. 294 Bundes ( Art. 63 Abs. 1 UVG ). Die Mitglieder des Suva-Rats werden vom Bundesrat gewählt und können von diesem aus wichtigen Gründen abberufen werden ( Art. 63 Abs. 2 UVG ). Als Trägerin staatlicher Aufgaben ist die Suva an die Grundrechte gebunden ( Art. 35 Abs. 2 BV ). Die Suva steht somit unter dem bestimmenden Einfluss des Bundes. Sie war indessen von der Abstimmung über die neuen Bestimmungen des ATSG in der Umsetzung ihres gesetzlichen Auftrags besonders betroffen und ähnlich einem Privaten in ihren wirtschaftlichen Interessen berührt. Daran ändert auch der Umstand nichts, dass in der Vergangenheit die Anzahl pro Jahr durchgeführter Observationen (rund 15) im Verhältnis zur grossen Zahl von jährlich insgesamt beurteilten Unfällen (über 460'000) sehr klein war. Die Stimmberechtigten hatten ein Interesse daran zu wissen, wie sich die vom Abstimmungsgegenstand besonders betroffene Suva zur Gesetzesvorlage stellt. Gleichzeitig war den Stimmberechtigten klar, dass die Suva als von der Vorlage besonders betroffenes Unternehmen ihren eigenen Standpunkt vertritt und nicht politisch neutral ist. Damit war die Suva unter Beachtung der gebotenen Zurückhaltung zu einer Stellungnahme im Vorfeld der Abstimmung vom 25. November 2018 berechtigt. Als öffentlich-rechtliche Anstalt des Bundes hatte sich die Suva im Vorfeld der eidgenössischen Volksabstimmung in analoger Anwendung von Art. 10a Abs. 2 BPR namentlich an den für den Bundesrat explizit festgehaltenen Informationsgrundsätzen zu orientieren.</w:t>
      </w:r>
    </w:p>
    <w:p>
      <w:r>
        <w:rPr>
          <w:b/>
        </w:rPr>
        <w:t>E. 6.3</w:t>
      </w:r>
    </w:p>
    <w:p>
      <w:r>
        <w:t>Der Beschwerdeführer stört sich zunächst am Titel "Faktencheck zum Observationsgesetz" der Publikation der Suva vom 25. Juni 2018. Der Ausdruck Faktencheck suggeriere, dass es sich bei den gemachten Aussagen um rechtlich gesicherte Tatsachen handle, was nicht der Fall sei. Ausserdem weise die Suva teilweise auf die Praxis ihrer Organe hin und suggeriere gleichzeitig, dass es sich dabei um eine Vorschrift des Gesetzes handle. Als unsachlich erachtet der Beschwerdeführer die Ausführungen im Dokument "Faktencheck", wonach die Sozialversicherungsdetektive nicht mehr dürften als der Polizei und der Staatsanwaltschaft erlaubt sei. Nicht korrekt seien namentlich die Aussagen, wonach gemäss den neuen Bestimmungen Versicherte in geschlossenen Räumen nicht gefilmt werden dürften und bei der Observation keine Richtmikrofone eingesetzt werden dürften. Als faktenwidrig bezeichnet der Beschwerdeführer sodann verschiedene Ausführungen der Suva zu den BGE 145 I 282 S. 295 Voraussetzungen, die für eine Observation erfüllt sein müssen. In diesem Zusammenhang macht er unter anderem geltend, die Suva verschweige, dass Observationen nicht durch einen Richter, sondern durch Versicherungsdirektoren angeordnet würden. Weiter bringt der Beschwerdeführer vor, die Aussagen der Suva, wonach für den Entscheid über die Ausrichtung von Versicherungsleistungen die Ergebnisse einer allfälligen Observation nicht für sich alleine, sondern lediglich zusammen mit den übrigen Fakten wie den medizinischen Unterlagen, Begutachtungen und Gesprächen massgebend seien, entsprächen nur teilweise der Realität bzw. gäben nur die Perspektive der Suva wieder. Der Beschwerdeführer bringt sodann vor, die Aussage der Suva, wonach mehr als 99 % der Leistungsbezüger ehrlich seien und deren Leistungsbezug legitimiert sei bzw. von niemandem in Frage gestellt werde, verschleiere, dass die Möglichkeit, observiert zu werden, auf leistungsberechtigte Personen einen abschreckenden Effekt haben könne. Schliesslich kritisiert der Beschwerdeführer die Passage, in welcher die Suva letztlich offenlässt bzw. es dem Gesetzgeber überlassen will, ob die neuen Bestimmungen im ATSG am richtigen Ort verankert werden oder ob sie stattdessen ins Strafgesetz gehörten.</w:t>
      </w:r>
    </w:p>
    <w:p>
      <w:r>
        <w:rPr>
          <w:b/>
        </w:rPr>
        <w:t>E. 6.4</w:t>
      </w:r>
    </w:p>
    <w:p>
      <w:r>
        <w:t>Dem Beschwerdeführer ist insofern zuzustimmen, als der Titel des Dokuments der Suva "Faktencheck zum Observationsgesetz" den Eindruck vermitteln kann, es handle sich bei den gemachten Aussagen um rechtlich gesicherte Fakten in dem Sinne, dass die gegenteilige Auffassung mit dem Wortlaut der neuen Gesetzesbestimmungen nicht vereinbar wäre. Verstärkt wird dieser Eindruck, indem die Argumente im Text und mit grafischer Unterstützung als "richtig" oder "falsch" bezeichnet werden. Bei den thematisierten Punkten handelt es sich indessen teilweise nicht um rechtlich gesicherte Fakten, die sich unmittelbar aus dem Wortlaut der Gesetzesbestimmungen ergeben, sondern insbesondere auch um Prognosen über die konkrete Anwendung der neuen Gesetzesartikel, welche notwendigerweise mit einer gewissen Unsicherheit behaftet sind. Der Prüfung der Argumente durch die Suva liegt die Auslegung der Gesetzesbestimmungen zu Grunde, wie sie vom Bundesrat, vom BSV sowie von der die Gesetzesänderung befürwortenden Mehrheit der Mitglieder der Bundesversammlung im Gesetzgebungsprozess vertreten wurde (vgl. E. 5.4.2 hiervor), was zwar aus dem gewählten Titel und der gewählten Form des Dokuments nicht hervorgeht, in den entsprechenden Textpassagen von der Suva jedoch ausdrücklich ausgewiesen wird. BGE 145 I 282 S. 296 Die jeweiligen Begründungen, weshalb die im Dokument "Faktencheck" zitierten Argumente in 13 Fällen nicht überzeugend seien, sind sachlich und mit der geforderten Zurückhaltung formuliert. Eindeutig faktenwidrige Aussagen sind den Ausführungen der Suva nicht zu entnehmen und zur politischen Neutralität war die Suva als von der Abstimmung besonders betroffenes Unternehmen nicht verpflichtet. Es ist sodann nicht zu beanstanden, dass sich die Suva nicht zu allen vom Beschwerdeführer angesprochenen Details der Gesetzesvorlage geäussert hat. Ebenfalls nicht unsachlich oder irreführend ist, dass die Suva in einzelnen Textpassagen auf die - ihrer Ansicht nach zurückhaltende - Praxis ihrer eigenen Organe bei Observationen verwiesen hat. Aufgrund der gewählten Formulierung war für den Stimmbürger erkennbar, dass es sich bei den entsprechenden Schilderungen nicht um gesetzlich definierte zwingende Schranken handelt, die für alle Versicherer gelten bzw. von allen Versicherern gleich gehandhabt werden, sondern dass die Suva damit lediglich auf ihre Absicht hinweisen wollte, mit den ihr eingeräumten Möglichkeiten zurückhaltend umzugehen.</w:t>
      </w:r>
    </w:p>
    <w:p>
      <w:r>
        <w:rPr>
          <w:b/>
        </w:rPr>
        <w:t>E. 6.5</w:t>
      </w:r>
    </w:p>
    <w:p>
      <w:r>
        <w:t>Daran, dass sich der mit dem Dokument "Faktencheck" verbundene Einsatz von finanziellen Mitteln - wie die Suva erklärt - in engen Grenzen hielt, ist nicht zu zweifeln. Gesamthaft betrachtet hat die Suva als von der Abstimmung besonders betroffenes Unternehmen ihre Interessen mit dem Dokument "Faktencheck" trotz des gewählten Titels und der gewählten Form noch in einigermassen objektiver und sachlicher Weise vertreten. Selbst wenn man zum Schluss käme, das von der Suva am 5. Juli 2018 auf ihrer Internetseite veröffentlichte Dokument "Faktencheck zum Observationsgesetz" genüge dem Grundsatz der Sachlichkeit nicht, wäre die Möglichkeit, dass die Abstimmung ohne den entsprechenden Mangel anders ausgefallen wäre, namentlich mit Blick auf das deutliche Ergebnis der Abstimmung, jedenfalls derart gering, dass sie nicht mehr ernsthaft in Betracht fallen würde. Auch würde es sich unter den gegebenen Umständen nicht rechtfertigen, eine entsprechende Verletzung der Abstimmungsfreiheit im Dispositiv förmlich festzustellen (vgl. BGE 143 I 78 E. 7.3 S.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