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503</w:t>
      </w:r>
    </w:p>
    <w:p>
      <w:r>
        <w:t>Bundesgericht (BGE), 2019-09-17, FR</w:t>
      </w:r>
    </w:p>
    <w:p>
      <w:r>
        <w:rPr>
          <w:b/>
        </w:rPr>
        <w:t xml:space="preserve">Quelle: </w:t>
      </w:r>
      <w:r>
        <w:t>https://mcp.opencaselaw.ch/entscheid/bge_BGE_145_IV_503</w:t>
      </w:r>
    </w:p>
    <w:p>
      <w:r>
        <w:t>FR: ATF 145 IV 503</w:t>
      </w:r>
    </w:p>
    <w:p>
      <w:r>
        <w:t>IT: DTF 145 IV 503</w:t>
      </w:r>
    </w:p>
    <w:p>
      <w:pPr>
        <w:pStyle w:val="Heading2"/>
      </w:pPr>
      <w:r>
        <w:t>Regeste</w:t>
      </w:r>
    </w:p>
    <w:p>
      <w:r>
        <w:t>Regeste Art. 221 Abs. 1 lit. a, 231 Abs. 1 und 237 Abs. 3 StPO; Fluchtgefahr nach erstinstanzlicher Verurteilung; elektronische Fussfessel. Der 82-jährige Beschuldigte, der erstinstanzlich zu einer Freiheitsstrafe von 18 Jahren wegen Mordes verurteilt worden ist, muss damit rechnen, bis zum Lebensende im Gefängnis zu bleiben. Trotz seines Alters und seines Gesundheitszustands erscheint die Fluchtgefahr, die während der Untersuchung noch verneint wurde, nun als konkret (E. 2.1-2.3). Ausserdem ist es notwendig, die Anwesenheit des Beschuldigten während des Berufungsverfahrens sicherzustellen (E. 2.4). Elektronische Fussfessel als Ersatzmassnahme (E. 3.3.1 und 3.3.2). Im vorliegenden Fall erscheint diese Massnahme nicht als ausreichend, um die Fluchtgefahr zu bannen (E. 3.3.3).</w:t>
      </w:r>
    </w:p>
    <w:p>
      <w:r>
        <w:t>Regeste Art. 221 al. 1 let. a, 231 al. 1 et 237 al. 3 CPP; risque de fuite après une condamnation en première instance; bracelet électronique. Condamné en première instance à une peine privative de liberté de 18 ans pour assassinat, le prévenu, âgé de 82 ans, se voit confronté à la perspective de finir sa vie en prison. En dépit de son âge et de son état de santé, le risque de fuite - nié durant l'instruction - apparaît désormais concret (consid. 2.1-2.3). Il est en outre nécessaire d'assurer la présence du prévenu durant la procédure d'appel (consid. 2.4). Bracelet électronique à titre de mesure de substitution (consid. 3.3.1 et 3.3.2). En l'occurrence, cette mesure n'apparaît pas suffisante pour prévenir le risque de fuite (consid. 3.3.3).</w:t>
      </w:r>
    </w:p>
    <w:p>
      <w:r>
        <w:t>Regesto Art. 221 cpv. 1 lett. a, 231 cpv. 1 e 237 cpv. 3 CPP; pericolo di fuga dopo una condanna in prima istanza; braccialetto elettronico. Condannato in prima istanza a una pena privativa della libertà di 18 anni per assassinio, l'accusato, di 82 anni, è confrontato alla prospettiva di terminare la sua vita in carcere. Nonostante la sua età e il suo stato di salute, il pericolo di fuga - negato durante l'istruzione - appare ormai concreto (consid. 2.1-2.3). È inoltre necessario assicurare la presenza dell'accusato durante la procedura d'appello (consid. 2.4). Braccialetto elettronico quale misura sostitutiva (consid. 3.3.1 e 3.3.2). Nella fattispecie questa misura non appare sufficiente per prevenire il pericolo di fuga (consid. 3.3.3).</w:t>
      </w:r>
    </w:p>
    <w:p>
      <w:pPr>
        <w:pStyle w:val="Heading2"/>
      </w:pPr>
      <w:r>
        <w:t>Erwägungen</w:t>
      </w:r>
    </w:p>
    <w:p>
      <w:r>
        <w:rPr>
          <w:b/>
        </w:rPr>
        <w:t>E. 2</w:t>
      </w:r>
    </w:p>
    <w:p>
      <w:r>
        <w:t>Se référant aux considérants de l'arrêt 1B_75/2019, le recourant conteste l'existence d'un risque de fuite. Il relève qu'il est de nationalité suisse et a toutes ses attaches en Suisse - y compris un fils dont l'instance précédente n'a pas tenu compte - et qu'il serait, en cas de départ à l'étranger, contraint de vivre dans la clandestinité. Cela ne serait guère envisageable pour une personne âgée de près de 82 ans dont l'état de santé nécessite la prise régulière de médicaments. Le recourant ne dispose d'aucune autre ressource que sa rente AVS et n'a pas d'autres contacts à l'étranger que sa fille qui vit en France, pays où il serait exposé à une extradition. Son absence devant le juge d'appel l'empêcherait de soutenir la thèse défendue jusqu'alors, à savoir que sa fille n'a pas pris part à l'assassinat. Il ne se trouverait donc pas dans une situation où il n'a plus rien à perdre. Le recourant relève qu'ayant avoué les faits, il était d'emblée exposé à une lourde peine, de sorte que sa condamnation en première instance ne constituerait pas un élément nouveau du point de vue du risque de fuite.</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L' 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 Matériellement, cette disposition a notamment pour but d'assurer la recherche de la vérité dans les cas d'infractions graves en particulier en cas de risque de fuite et de collusion (FORSTER, in Basler Kommentar, Schweizerische Strafprozessordnung, 2 e éd. 2014, n° 5 ad art. 231 CPP ). L' art. 221 al. 1 let. a CPP se trouve ainsi renforcé par l' art. 231 al. 1 CPP après une condamnation intervenue en première BGE 145 IV 503 S. 507 instance, notamment lorsque les faits concernant une infraction grave sont contestés.</w:t>
      </w:r>
    </w:p>
    <w:p>
      <w:r>
        <w:rPr>
          <w:b/>
        </w:rPr>
        <w:t>E. 2.2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(arrêt 1B_322/2017 du 24 août 2017 consid. 3.1, non publié in ATF 143 IV 330 ; ATF 123 I 31 consid. 3d p. 36). La gravité de l'infraction ne peut pas, à elle seule, justifier la prolongation de la détention, même si elle permet souvent de présumer un danger de fuite en raison de l'importance de la peine dont le prévenu est menacé ( ATF 143 IV 160 consid. 4.3 p.167; ATF 125 I 60 consid. 3a p. 62 et les arrêts cités).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(arrêt 1B_393/2015 du 9 décembre 2015 consid. 2.2). En l'occurrence, la peine prononcée en première instance à l'encontre du recourant, soit une peine privative de liberté de 18 ans pour assassinat - infraction d'une gravité extrême puisque punissable d'une peine privative de liberté à vie ou de dix ans au moins -, apparaît en soi particulièrement lourde.</w:t>
      </w:r>
    </w:p>
    <w:p>
      <w:r>
        <w:rPr>
          <w:b/>
        </w:rPr>
        <w:t>E. 2.3</w:t>
      </w:r>
    </w:p>
    <w:p>
      <w:r>
        <w:t>Le risque de fuite a été exclu par le Tribunal fédéral dans son arrêt du 7 mars 2019 antérieur au jugement au fond de première instance (1B_75/2019), le maintien en détention jusqu'aux débats ayant été motivé par le seul risque de collusion, confirmé par le Tribunal fédéral dans son arrêt du 16 avril 2019 (1B_144/2019). Par la suite, la cour cantonale a, à nouveau, retenu le risque de fuite, la situation ayant changé depuis que le Tribunal criminel l'avait reconnu coupable d'assassinat et condamné à une lourde peine. Le recourant a reconnu dès sa première audition qu'il était l'auteur de l'homicide de sa femme. Il est cependant manifeste que la position qu'il défend s'est depuis lors considérablement compliquée. Au cours des débats, il a mis en évidence les comportements tyranniques et violents de son épouse à son encontre et à celui de leur fille et il a plaidé la libération de l'accusation d'assassinat pour conclure BGE 145 IV 503 S. 508 à une peine "clémente" n'excédant pas 8 ans. Or, après instruction, le jugement de première instance retient la participation du recourant à un assassinat et le condamne à une peine privative de liberté de 18 ans, soit une sanction d'une toute autre ampleur que celle espérée. Quand bien même le jugement de première instance n'est pas définitif, le recourant est désormais confronté à la perspective concrète de passer le restant de ses jours en prison. On peut dès lors aisément concevoir qu'une fuite, même dans des conditions inconfortables, serait préférable à une incarcération sans perspective raisonnable de libération. L'état de santé du recourant n'est pas incompatible avec une telle fuite: l'expertise psychiatrique de novembre 2017 expose que le recourant était suivi notamment pour une cardiopathie avec pose d'un stent en 2013, une hypertension artérielle et des vertiges; le traitement est constitué essentiellement de comprimés per os et ne nécessite pas un suivi en milieu hospitalier; la même expertise (réalisée alors que le recourant était âgé de près de 80 ans) constate que le recourant a préservé son autonomie dans les actes de la vie quotidienne et gérait seul ses affaires et l'entretien du domicile. En outre, il ressort du jugement de première instance que le recourant a, comme sa fille, démontré une énergie peu commune et un fort caractère pour faire disparaître le corps de son épouse et les traces de l'homicide dans la villa conjugale, selon des modalités - escamotage du corps, travaux de rénovation de la villa et mise sur pied d'un stratagème tendant à accréditer la thèse d'un suicide de la victime - que lui-même et sa fille ont décrit à l'audience de jugement. Il a ainsi pris à cet égard une série de mesures pratiques faisant ainsi preuve de sa détermination et de sa capacité à agir pour se soustraire aux conséquences pénales de ses actes. Par ailleurs, s'il n'a certes que peu d'attaches à l'étranger hormis son autre fille domiciliée en France, il n'a rien qui le retienne sérieusement en Suisse non plus, même s'il a un fils de son premier mariage qui y est domicilié. Alors qu'il est désormais confronté à l'éventualité sérieuse de finir sa vie en prison et qu'il a démontré avoir l'énergie de prendre des décisions radicales non conformes au droit, le risque de fuite apparaît concret.</w:t>
      </w:r>
    </w:p>
    <w:p>
      <w:r>
        <w:rPr>
          <w:b/>
        </w:rPr>
        <w:t>E. 2.4</w:t>
      </w:r>
    </w:p>
    <w:p>
      <w:r>
        <w:t>Au surplus, dans des arrêts récents, le Tribunal fédéral a renforcé sa jurisprudence relative à l'obligation de l'autorité d'appel d'interroger elle-même le prévenu sur les faits et infractions contestés, BGE 145 IV 503 S. 509 indépendamment de l'intervention du défenseur du prévenu. Faute d'intensité suffisante dans l'audition du prévenu par la cour d'appel, la pratique de la Cour de droit pénal est ainsi d'annuler l'arrêt sur appel et de renvoyer la cause à ladite autorité d'appel ( art. 341 al. 3 CPP , applicable à la procédure d'appel par renvoi de l' art. 405 al. 1 CPP ; ATF 143 IV 288 consid. 1.4.2-1.4.4 p. 291 ss.; arrêt 6B_903/2018 du 14 décembre 2018 consid. 3.1, non publié in ATF 144 IV 383 ; arrêts 6B_1266/2018 du 12 mars 2019 consid. 2.1 et les références citées; 6B_155/2019 du 29 mars 2019 consid. 3). En l'occurrence, s'agissant d'un homicide commis à huis clos et susceptible d'être qualifié d'assassinat, il ressort du jugement de première instance que les déclarations des deux prévenus sont essentielles dans la recherche de la vérité, aussi bien à charge qu'à décharge. Il apparaît dès lors absolument indispensable que la présence simultanée du recourant et de sa fille soit garantie dans la procédure d'appel, en particulier à l'audience d'appel. Cela renforce la nécessité de prévenir absolument tout risque de fuite.</w:t>
      </w:r>
    </w:p>
    <w:p>
      <w:r>
        <w:rPr>
          <w:b/>
        </w:rPr>
        <w:t>E. 2.5</w:t>
      </w:r>
    </w:p>
    <w:p>
      <w:r>
        <w:t>En résumé, dans ces circonstances particulières, soit une condamnation très lourde en première instance fondée sur un crime d'une gravité extrême alors que les faits et l'infraction sont largement contestés, le recourant, qui n'a pas d'attaches fortes en Suisse et qui a fait preuve d'un caractère lui permettant de prendre des décisions résolues et, le cas échéant, en marge de la loi, présente un risque de fuite concret. L'intensité du risque de fuite doit être d'autant mieux prise en compte que la présence des deux prévenus apparaît indispensable dans la procédure d'appel. Au demeurant, par rapport à l'arrêt de la Cour de céans du 7 mars 2019, la lourde condamnation pour assassinat n'était évidemment pas connue à ce moment-là et les faits démontrant la détermination du recourant à échapper à sa responsabilité pénale ne ressortaient pas non plus de l'arrêt alors attaqué.</w:t>
      </w:r>
    </w:p>
    <w:p>
      <w:r>
        <w:rPr>
          <w:b/>
        </w:rPr>
        <w:t>E. 3</w:t>
      </w:r>
    </w:p>
    <w:p>
      <w:r>
        <w:t>Invoquant le principe de la proportionnalité, le recourant estime que des mesures de substitution seraient à même de pallier le risque de fuite. Il estime qu'une assignation à résidence chez sa soeur à Versoix associée à l'obligation de se présenter au poste de police tous les jours à 9h, éventuellement assorties du port d'un bracelet électronique, seraient à même de prévenir tout risque de fuite.</w:t>
      </w:r>
    </w:p>
    <w:p>
      <w:r>
        <w:rPr>
          <w:b/>
        </w:rPr>
        <w:t>E. 3.1</w:t>
      </w:r>
    </w:p>
    <w:p>
      <w:r>
        <w:t>Conformément au principe de la proportionnalité ( art. 36 al. 3 Cst. ), il convient d'examiner les possibilités de mettre en oeuvre d'autres solutions moins dommageables que la détention (règle de la BGE 145 IV 503 S. 510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rPr>
          <w:b/>
        </w:rPr>
        <w:t>E. 3.2</w:t>
      </w:r>
    </w:p>
    <w:p>
      <w:r>
        <w:t>L'arrêt cantonal relève qu'en l'absence de contrôle d'identité aux frontières dans l'espace Schengen rien n'empêcherait le recourant de quitter facilement la Suisse. Ces considérations sont pertinentes pour ce qui concerne le dépôt des documents d'identité, une assignation à résidence ainsi que l'obligation de se présenter, même quotidiennement, à un poste de police. Compte tenu de l'exiguïté du territoire suisse, il suffit de très peu de temps pour rejoindre et passer sans contrôle une frontière (PITTELOUD, Code de procédure pénale suisse [CPP], 2012, n° 526 ad art. 234 ss CPP ).</w:t>
      </w:r>
    </w:p>
    <w:p>
      <w:r>
        <w:rPr>
          <w:b/>
        </w:rPr>
        <w:t>E. 3.3.1</w:t>
      </w:r>
    </w:p>
    <w:p>
      <w:r>
        <w:t>S'agissant du port du bracelet électronique, le législateur a prévu pour surveiller l'exécution des mesures de substitution de l' art. 237 al. 2 CPP l'utilisation d'appareils techniques qui peuvent être fixés à la personne sous surveillance ( art. 237 al. 3 CPP ).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ainsi que l'a admis la jurisprudence (arrêts 1B_447/2011 du 21 septembre 2011 consid. 3.3; 1B_344/ 2017 du 20 septembre 2017 consid. 5.2; cf. ATF 136 IV 20 consid. 3.5 p. 27 en matière de détention extraditionnelle) et le Conseil fédéral dans son Message du 4 avril 2012 relatif à la modification du code pénal et du code pénal militaire, qui évoque l' art. 237 al. 3 CPP à propos de l'introduction de l' art. 79b CP (FF 2012 4385, 4403). BGE 145 IV 503 S. 511 Cette disposition constitue la base légale nécessaire pour la surveillance électronique dans le contexte de la procédure pénale (Message du 21 décembre 2005 relatif à l'unification du droit de la procédure pénale, FF 2006 1218). Lors de l'adoption de cette disposition, la technologie à disposition permettait uniquement de vérifier si une personne se trouvait ou non dans un périmètre donné (SCHMOCKER, in: Commentaire romand, Code de procédure pénale suisse, Kuhn/ Jeanneret [éd.], 2011, n° 15 ad art. 237 CPP ). Toutefois, l' art. 237 al. 3 CPP n'est pas restrictif dans sa formulation et ne se limite pas à une technologie en particulier. Il constitue donc une base légale suffisante pour l'utilisation d'un système permettant de suivre un prévenu à la trace (SCHMOCKER, loc. cit.),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(GRIVAT, Aspects éthiques et limitation dans le recours à la surveillance électronique dans l'exécution des sanctions pénales. Etat des lieux en Suisse, in Surveiller et punir: nouvelles évolutions dans l'exécution des sanctions pénales, Queloz, Noll, von Mandach, Delgrande [éd.], 2018, p. 245 ss, 249 s.). Le projet de mise en place d'une centrale de surveillance unique pour les cantons latins semble avoir été en l'état abandonné (FERREIRA BROQUET, Le bracelet électronique en Suisse: hier, aujourd'hui, demain, 2015, p. 125). Ainsi, la surveillance électronique ne permet pas de prévenir une fuite en temps réel mais uniquement de la constater a posteriori . Au demeurant, un contrôle rétroactif n'a qu'un effet préventif faible, en particulier pour un prévenu qui présente un risque de fuite. Cet effet serait assurément plus intense si le contrôle était mis en oeuvre en temps réel (cf. STÖSSEL, Electronic Monitoring im Schweizer Erwachsenenstrafrecht, 2018, p. 224-225; MANFRIN, Ersatzmassnahmenrecht nach Schweizerischer Strafprozessordnung, 2014, p. 278-279). Il serait ainsi souhaitable que la Confédération et les cantons mettent en place les structures adéquates en matériel et en personnel, cas échéant la réglementation nécessaire, afin que les autorités en charge de la détention provisoire ou pour des motifs de sûreté puissent avoir recours à un système fiable de surveillance en temps réel.</w:t>
      </w:r>
    </w:p>
    <w:p>
      <w:r>
        <w:rPr>
          <w:b/>
        </w:rPr>
        <w:t>E. 3.3.2</w:t>
      </w:r>
    </w:p>
    <w:p>
      <w:r>
        <w:t>Quoi qu'il en soit, c'est-à-dire même en cas de surveillance active avec possibilité d'intervention immédiate de la police, il n'est BGE 145 IV 503 S. 512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(arrêt 1C_269/2018 du 5 juin 2018 consid. 1.3).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w:t>
      </w:r>
    </w:p>
    <w:p>
      <w:r>
        <w:rPr>
          <w:b/>
        </w:rPr>
        <w:t>E. 3.3.3</w:t>
      </w:r>
    </w:p>
    <w:p>
      <w:r>
        <w:t>Dans la présente cause une telle mesure n'est pas suffisante. En effet, vu les circonstances très particulières décrites ci-dessus (consid. 2, résumées au consid. 2.5), le risque de fuite présenté concrètement par le recourant ne saurait être pallié par une surveillance électronique, quelle que soit la nature du contrôle effectué, le prévenu ayant déjà fait la démonstration que des contingences pratiques ne sont pas de nature à l'empêcher d'échapper à ses responsabilités pénales particulièrement importantes au vu de l'infraction très grave dont il est accusé.</w:t>
      </w:r>
    </w:p>
    <w:p>
      <w:r>
        <w:rPr>
          <w:b/>
        </w:rPr>
        <w:t>E. 3.4</w:t>
      </w:r>
    </w:p>
    <w:p>
      <w:r>
        <w:t>Compte tenu de ce qui précède, la cour cantonale pouvait, sans violer le droit fédéral, confirmer le placement en détention provisoire du recourant en raison de l'existence d'un risque de fuite qu'aucune mesure de substitution ne permet, en l'état, de réduire.</w:t>
      </w:r>
    </w:p>
    <w:p>
      <w:r>
        <w:rPr>
          <w:b/>
        </w:rPr>
        <w:t>E. 3.5</w:t>
      </w:r>
    </w:p>
    <w:p>
      <w:r>
        <w:t>Enfin, du point de vue temporel, vu la gravité des infractions pour lesquelles le recourant a été condamné en première instance et la durée de la détention provisoire déjà subie, le principe de la proportionnalité est également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