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359</w:t>
      </w:r>
    </w:p>
    <w:p>
      <w:r>
        <w:t>Bundesgericht (BGE), 2019-08-12, DE</w:t>
      </w:r>
    </w:p>
    <w:p>
      <w:r>
        <w:rPr>
          <w:b/>
        </w:rPr>
        <w:t xml:space="preserve">Quelle: </w:t>
      </w:r>
      <w:r>
        <w:t>https://mcp.opencaselaw.ch/entscheid/bge_BGE_145_IV_359</w:t>
      </w:r>
    </w:p>
    <w:p>
      <w:r>
        <w:t>FR: ATF 145 IV 359</w:t>
      </w:r>
    </w:p>
    <w:p>
      <w:r>
        <w:t>IT: DTF 145 IV 359</w:t>
      </w:r>
    </w:p>
    <w:p>
      <w:pPr>
        <w:pStyle w:val="Heading2"/>
      </w:pPr>
      <w:r>
        <w:t>Regeste</w:t>
      </w:r>
    </w:p>
    <w:p>
      <w:r>
        <w:t>Regeste Art. 431 Abs. 2 StPO; Anrechnung der Untersuchungs- bzw. Sicherheitshaft auf ambulante Massnahmen. Untersuchungs- bzw. Sicherheitshaft ist an eine ambulante Massnahme (Art. 63 ff. StGB) grundsätzlich anzurechnen, soweit dieser im konkreten Einzelfall freiheitsentziehende Wirkung zukommt (E. 2.7). Eine Entschädigung und Genugtuung wegen Überhaft können nur in Frage kommen, wenn sich ex post zeigen sollte, dass das Gesamtmass des mit der ambulanten Behandlung einhergehenden Freiheitsentzugs von der Dauer her im Einzelfall kürzer ist als die erstandene Untersuchungs- bzw. Sicherheitshaft (E. 2.8).</w:t>
      </w:r>
    </w:p>
    <w:p>
      <w:r>
        <w:t>Regeste Art. 431 al. 2 CPP; imputation de la détention provisoire et de la détention pour des motifs de sûreté sur les mesures ambulatoires. La détention provisoire et la détention pour des motifs de sûreté doivent en principe être imputées sur une mesure ambulatoire (art. 63 ss CP) dans la mesure où celle-ci entraîne concrètement une privation de liberté (consid. 2.7). Une indemnité et une réparation du tort moral pour privation de liberté excessive entrent en ligne de compte seulement s'il devait apparaître postérieurement que la durée totale de la privation de liberté en relation avec le traitement ambulatoire est plus courte dans le cas particulier que celle entraînée par la détention provisoire ou par la détention pour des motifs de sûreté (consid. 2.8).</w:t>
      </w:r>
    </w:p>
    <w:p>
      <w:r>
        <w:t>Regesto Art. 431 cpv. 2 CPP; computo della carcerazione preventiva o di sicurezza nei trattamenti ambulatoriali. La carcerazione preventiva o di sicurezza deve in linea di principio essere computata nel trattamento ambulatoriale (art. 63 segg. CP), nella misura in cui esso comporti concretamente una privazione della libertà (consid. 2.7). L'indennità e la riparazione del torto morale per una privazione eccessiva della libertà entrano in considerazione unicamente se nel caso specifico la durata totale della privazione della libertà connessa al trattamento ambulatoriale si rivela ex post inferiore a quella della carcerazione preventiva o di sicurezza subita (consid. 2.8).</w:t>
      </w:r>
    </w:p>
    <w:p>
      <w:pPr>
        <w:pStyle w:val="Heading2"/>
      </w:pPr>
      <w:r>
        <w:t>Erwägungen</w:t>
      </w:r>
    </w:p>
    <w:p>
      <w:r>
        <w:rPr>
          <w:b/>
        </w:rPr>
        <w:t>E. 2</w:t>
      </w:r>
    </w:p>
    <w:p>
      <w:r>
        <w:t>(...)</w:t>
      </w:r>
    </w:p>
    <w:p>
      <w:r>
        <w:rPr>
          <w:b/>
        </w:rPr>
        <w:t>E. 2.7</w:t>
      </w:r>
    </w:p>
    <w:p>
      <w:r>
        <w:t>Zu prüfen bleibt indes, ob die Rechtsprechung des Bundesgerichts zur Anrechnung von Haft auf freiheitsentziehende Massnahmen nicht bloss auf stationäre therapeutische Massnahmen nach Art. 59 StGB ( BGE 141 IV 236 ), sondern auch auf ambulante Massnahmen im Sinne von Art. 63 StGB anwendbar ist. Soweit ersichtlich BGE 145 IV 359 S. 361 hat sich das Bundesgericht hierzu noch nicht geäussert. Es rechtfertigt sich daher, dies hier zu prüfen und eine Auslegung nach dem Wortlaut, dem historischen Willen des Gesetzgebers und dem Zweck ambulanter Massnahmen vorzunehmen. In Art. 431 Abs. 2 StPO ist ausdrücklich von Sanktionen die Rede, welche Grundlage der Anrechnung bilden können. Unter Sanktionen als Rechtsfolgen eines Delikts werden neben den Strafen nicht nur stationäre, sondern auch ambulante Massnahmen verstanden (JOSITSCH/EGE/SCHWARZENEGGER, Strafen und Massnahmen, 9. Aufl. 2018, § 2 S. 24 und 33). Der Gesetzeswortlaut spricht daher für eine Anrechnung der Untersuchungs- und Sicherheitshaft auf ambulante Massnahmen. Die Botschaft vom 21. Dezember 2005 zur Vereinheitlichung des Strafprozessrechts führt zu Art. 439 Abs. 2 E-StPO, dem Vorgänger von Art. 431 Abs. 2 StPO sodann aus, dass die Anrechnung auf die freiheitsentziehenden Massnahmen zu erfolgen habe, wobei es Aufgabe der Rechtsprechung sein werde, von Fall zu Fall eine angemessene Anrechnung vorzunehmen (vgl. BBl 2006 1330 Ziff. 2.10.3.1 zu Art. 439). Dass einer ambulanten Massnahme freiheitsentziehende Wirkung zukommen kann, ergibt sich bereits aus Art. 63b Abs. 4 StGB . Gemäss dieser Bestimmung entscheidet das Gericht darüber, inwieweit der mit der ambulanten Behandlung verbundene Freiheitsentzug auf die Strafe angerechnet wird. Die ambulante Massnahme ist in dem Masse anrechenbar, "wie eine tatsächliche Beschränkung der persönlichen Freiheit vorliegt" ( BGE 124 IV 1 E. 2b S. 4 mit Hinweis; Urteil 6B_382/2018 vom 19. September 2018 E. 2.2 mit Hinweisen). Die ambulante Massnahme ist damit - je nach konkreter Ausgestaltung und soweit ihr freiheitsentziehende Wirkung zukommt - unter die freiheitsentziehenden Massnahmen zu subsumieren. Gleich wie bei der stationären Massnahme wird bei Anordnung einer ambulanten Massnahme an die Rückfallgefahr angeknüpft. Die Massnahme stellt auch hier ein Mittel dar, mit welchem die Verhinderung oder Verminderung künftiger Straftaten erreicht werden soll ( BGE 124 IV 246 E. 3b S. 250 f. mit Hinweisen). In diesem Sinne bedeutet jede Behandlung und Besserung eines Täters im Rahmen einer ambulanten Massnahme gleichzeitig auch Sicherung für die Zeit der Behandlung. Entsprechend hält Art. 63 Abs. 1 lit. b StGB fest, eine ambulante Massnahme sei nur anzuordnen, wenn und soweit zu erwarten ist, dass sich dadurch der Gefahr weiterer Straftaten begegnen lässt. Mit anderen Worten muss die ambulante Behandlung - wie BGE 145 IV 359 S. 362 bei einer stationären Massnahme - im Hinblick auf die Deliktsprävention Erfolg versprechen, wobei oberstes Ziel die Reduktion des Rückfallrisikos bzw. die künftige Straflosigkeit des Täters ist ( BGE 124 IV 246 E. 3b S. 250 f. mit Hinweisen). Der mit der ambulanten Massnahme verfolgte Zweck - die Verhinderung von weiteren Straftaten zum Schutze der Allgemeinheit - kann auch der strafprozessualen Untersuchungs- und Sicherheitshaft zugrunde liegen (vgl. BGE 141 IV 236 E. 3.8 S. 242 mit Hinweisen). Wenn und soweit ein Täter in diesem Sinne gefährlich ist, von ihm also die Gefahr weiterer Straftaten ausgeht, handelt es sich sowohl bei Untersuchungs- bzw. Sicherheitshaft als auch bei der ambulanten Massnahme letztlich um eine Freiheitsbeschränkung zum Schutze der Allgemeinheit. Somit steht auch der Massnahmezweck einer Anrechnung an ambulante Massnahmen nicht entgegen. Als Zwischenfazit ist daher festzuhalten, dass Untersuchungs- bzw. Sicherheitshaft, welche während des Strafverfahrens, das zum Massnahmenentscheid führte, verbüsst wurde, auf eine ambulante Massnahme nach Art. 63 StGB im oben dargelegten Sinne (vgl. nicht publ. E. 2.6) anzurechnen ist, soweit dieser im konkreten Einzelfall freiheitsentziehende Wirkung zukommt.</w:t>
      </w:r>
    </w:p>
    <w:p>
      <w:r>
        <w:rPr>
          <w:b/>
        </w:rPr>
        <w:t>E. 2.8.1</w:t>
      </w:r>
    </w:p>
    <w:p>
      <w:r>
        <w:t>Das Bundesgericht hat sich zu der Frage, wie die Untersuchungs- bzw. Sicherheitshaft an die freiheitsentziehende Massnahme im Sinne von Art. 59 ff. StGB anzurechnen ist, nicht geäussert. Der Botschaft lässt sich in dieser Hinsicht nichts Genaueres entnehmen. Sie weist lediglich darauf hin, dass es Aufgabe der Rechtsprechung sein werde, von Fall zu Fall eine angemessene Anrechnung vorzunehmen (vgl. BBl 2006 1330 Ziff. 2.10.3.1 zu Art. 439). Während es bei stationären Massnahmen als richtig erscheint, die Untersuchungs- bzw. Sicherheitshaft an freiheitsentziehende Massnahmen im Sinne von Art. 59 StGB im gleichen Umfang wie an eine Freiheitsstrafe anzurechnen (vgl. Urteil 6B_385/2014 vom 23. April 2015 E. 4, nicht publ. in: BGE 141 IV 236 ), bietet es sich im Bereich der ambulanten Massnahmen nach Art. 63 StGB an, die von der Rechtsprechung entwickelten Grundsätze zur Anrechnung der ambulanten Massnahme auf die Strafe beizuziehen.</w:t>
      </w:r>
    </w:p>
    <w:p>
      <w:r>
        <w:rPr>
          <w:b/>
        </w:rPr>
        <w:t>E. 2.8.2</w:t>
      </w:r>
    </w:p>
    <w:p>
      <w:r>
        <w:t>Gemäss Art. 63b Abs. 4 StGB entscheidet das Gericht darüber, inwieweit der mit der ambulanten Behandlung verbundene Freiheitsentzug auf die Strafe angerechnet wird. Die ambulante Massnahme BGE 145 IV 359 S. 363 ist in dem Masse anrechenbar, wie eine tatsächliche Beschränkung der persönlichen Freiheit vorliegt. Von Bedeutung ist hierfür im Wesentlichen, mit welchem Zeit- und Kostenaufwand die Massnahme für den Betroffenen verbunden war. Wegen der grundsätzlichen Verschiedenheit von ambulanter Massnahme und Strafvollzug kommt in der Regel nur eine beschränkte Anrechnung der ambulanten Behandlung in Frage. Dem Gericht steht beim Entscheid, ob und in welchem Umfang die Behandlung anzurechnen ist, ein erheblicher Ermessensspielraum zu ( BGE 124 IV 1 E. 2b S. 4; BGE 122 IV 51 E. 3a S. 54; Urteil 6B_382/2018 vom 19. September 2018 E. 2.2; je mit Hinweisen). Ein fester Umrechnungsmassstab besteht nicht (TRECHSEL/PAUEN BORER, in: Schweizerisches Strafgesetzbuch, Praxiskommentar, Trechsel/Pieth [Hrsg.], 3. Aufl. 2018, N. 5 zu Art. 63b StGB , mit Hinweisen). Auf einen dem Beschuldigten infolge Überhaft zustehenden Entschädigungsanspruch bezogen bedeutet dies, dass eine Genugtuung demnach nur in Frage kommen kann, wenn sich ex post zeigen sollte, dass das Gesamtmass des mit der ambulanten Behandlung einhergehenden Freiheitsentzugs von der Dauer her im Einzelfall kürzer ist, als die erstandene Untersuchungs- bzw. Sicherheitshaft.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