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32</w:t>
      </w:r>
    </w:p>
    <w:p>
      <w:r>
        <w:t>Bundesgericht (BGE), 2018-11-21, FR</w:t>
      </w:r>
    </w:p>
    <w:p>
      <w:r>
        <w:rPr>
          <w:b/>
        </w:rPr>
        <w:t xml:space="preserve">Quelle: </w:t>
      </w:r>
      <w:r>
        <w:t>https://mcp.opencaselaw.ch/entscheid/bge_BGE_145_II_32</w:t>
      </w:r>
    </w:p>
    <w:p>
      <w:r>
        <w:t>FR: ATF 145 II 32</w:t>
      </w:r>
    </w:p>
    <w:p>
      <w:r>
        <w:t>IT: DTF 145 II 32</w:t>
      </w:r>
    </w:p>
    <w:p>
      <w:pPr>
        <w:pStyle w:val="Heading2"/>
      </w:pPr>
      <w:r>
        <w:t>Regeste</w:t>
      </w:r>
    </w:p>
    <w:p>
      <w:r>
        <w:t>Regeste Art. 9, 26 und 30 BV; Art. 664 und 667 ZGB; Art. 2 Abs. 7 BGBM; Art. 10 Abs. 1 und 11 USG; Art. 30 Abs. 1 bis RPV; kantonaler Sondernutzungsplan für ein Pilotprojekt im Bereich der Tiefengeothermie. Der Kanton ist zur Verfügung über den tiefen Untergrund befugt und kann dessen Nutzung regeln (E. 2). Selbst wenn eine Konzession angemessener erscheint, kann das kantonale Recht sich mit einem blossen Bewilligungsregime begnügen (E. 3). Eine Ausschreibung im Sinne von Art. 2 Abs. 7 BGBM ist nicht erforderlich (E. 4). Es ist nicht willkürlich und verletzt nicht die allgemeinen Verfahrensgarantien, den Inhalt der Baubewilligung (die zu Unrecht von der Kantonsregierung an Stelle der Gemeindebehörde erteilt worden war) in die Sondernutzungsplanung zu integrieren (E. 5). Die Frage der Wertminderung der Liegenschaften der Einsprecher ist nicht Gegenstand der Sondernutzungsplanung (E. 6). Die (teilweise kompensierte) Inanspruchnahme von Fruchtfolgeflächen ist vorliegend zulässig (E. 7).</w:t>
      </w:r>
    </w:p>
    <w:p>
      <w:r>
        <w:t>Regeste Art. 9, 26 et 30 Cst.; art. 664 et 667 CC; art. 2 al. 7 LMI; art. 10 al. 1 et 11 LPE; art. 30 al. 1 bis OAT; plan spécial cantonal pour un projet-pilote de géothermie profonde. L'Etat conserve la disposition des sous-sols profonds et peut en réglementer l'utilisation (consid. 2). Même si une concession apparaît plus adéquate, le droit cantonal peut soumettre le projet à un simple régime d'autorisation (consid. 3). Un appel d'offres au sens de l'art. 2 al. 7 LMI n'est pas nécessaire (consid. 4). L'intégration du contenu du permis de construire (délivré à tort par le gouvernement cantonal au lieu de l'autorité communale) à la planification spéciale n'est pas arbitraire et ne viole pas les garanties générales de procédure (consid. 5). La question de la dépréciation des immeubles des opposants ne relève pas de la procédure de planification spéciale (consid. 6). L'atteinte (partiellement compensée) aux surfaces d'assolement est en l'occurrence admissible (consid. 7).</w:t>
      </w:r>
    </w:p>
    <w:p>
      <w:r>
        <w:t>Regesto Art. 9, 26 e 30 Cost.; art. 664 e 667 CC; art. 2 cpv. 7 LMI; art. 10 cpv. 1 e 11 LPAmb; art. 30 cpv. 1 bis OPT; piano speciale cantonale per un progetto pilota di geotermia profonda. Lo Stato conserva la disposizione dei sottosuoli profondi e può regolamentarne l'utilizzazione (consid. 2). Anche qualora una concessione parrebbe più adeguata, il diritto cantonale può assoggettare il progetto a un semplice regime di autorizzazione (consid. 3). Un concorso ai sensi dell'art. 2 cpv. 7 LMI non è necessario (consid. 4). L'integrazione del contenuto della licenza edilizia (rilasciata a torto dal governo cantonale al posto dell'autorità comunale) nella pianificazione speciale non è arbitraria e non viola le garanzie generali di procedura (consid. 5). La questione del deprezzamento degli immobili degli opponenti non rientra nella procedura di pianificazione speciale (consid. 6). Nella fattispecie il pregiudizio (parzialmente compensato) alle superfici per l'avvicendamento delle colture è ammissibile (consid. 7).</w:t>
      </w:r>
    </w:p>
    <w:p>
      <w:pPr>
        <w:pStyle w:val="Heading2"/>
      </w:pPr>
      <w:r>
        <w:t>Erwägungen</w:t>
      </w:r>
    </w:p>
    <w:p>
      <w:r>
        <w:rPr>
          <w:b/>
        </w:rPr>
        <w:t>E. 2</w:t>
      </w:r>
    </w:p>
    <w:p>
      <w:r>
        <w:t>Dans un premier grief, les recourants invoquent la garantie de la propriété ( art. 26 Cst. ). Ils relèvent que selon l' art. 664 al. 3 CC , la législation cantonale devrait réglementer l'exploitation des biens du domaine public, dont ferait partie l'utilisation du sous-sol. Or, comme l'a admis la cour cantonale, une base légale cantonale ferait défaut BGE 145 II 32 S. 36 dans le domaine de la géothermie profonde, en dépit des atteintes à l'environnement qu'elle implique.</w:t>
      </w:r>
    </w:p>
    <w:p>
      <w:r>
        <w:rPr>
          <w:b/>
        </w:rPr>
        <w:t>E. 2.1</w:t>
      </w:r>
    </w:p>
    <w:p>
      <w:r>
        <w:t>Selon l' art. 667 al. 1 CC , la propriété du sol emporte celle du dessus et du dessous, dans toute la hauteur et la profondeur utiles à son exercice (al. 1). Elle comprend, sous réserve des restrictions légales, les constructions, les plantations et les sources (al. 2). C'est le critère d'utilité (entendue objectivement) qui détermine l'étendue verticale de la propriété; au-delà de la hauteur et de la profondeur utiles, les prérogatives liées à la propriété privée disparaissent, l' art. 667 al. 1 CC ayant ainsi une fonction de délimitation destinée notamment à permettre la réalisation des infrastructures telles que les tunnels ferroviaires ou routiers ou les conduites souterraines ( ATF 119 Ia 390 consid. 5c/bb p. 397). L'Etat conserve ainsi la disposition des sous-sols, conformément au principe posé à l' art. 664 CC , et il peut en réglementer l'utilisation ( ATF 119 Ia 390 consid. 5d p. 399; POLTIER/PIOTET, La marge d'autonomie du législateur cantonal dans l'exploitation de la géothermie, RDS 134/2015 I p. 449-492, 460 ss).</w:t>
      </w:r>
    </w:p>
    <w:p>
      <w:r>
        <w:rPr>
          <w:b/>
        </w:rPr>
        <w:t>E. 2.2</w:t>
      </w:r>
    </w:p>
    <w:p>
      <w:r>
        <w:t>Dès lors, contrairement à ce que soutiennent les recourants, il n'est point besoin, du point de vue de la protection de la propriété privée, d'une base légale spécifique pour permettre l'utilisation des sols profonds. Les recourants n'expliquent pas non plus en quoi le projet litigieux porterait atteinte à leur droit de propriété, dès lors que les parcelles concernées sont la propriété de l'exploitant et que le projet n'implique d'ailleurs aucune mesure d'expropriation formelle. Au surplus, c'est à tort que les recourants prétendent que la jurisprudence exigerait une base légale dans les présentes circonstances en rapport, si l'on comprend bien, avec l'usage du domaine public; les arrêts cités ( ATF 139 I 406 consid. 3.2.4 et 4.1; 1C_9/2012 du 7 mai 2012 consid. 2.3; 2C_819/2014 du 3 avril 2015 consid. 6) ont en effet trait à la nécessité d'une base légale au sens de l' art. 36 Cst. pour fonder une restriction à la liberté d'expression ou à la liberté économique. Les recourants semblent se référer à cet égard en réalité à l'affirmation de la cour cantonale selon laquelle aucune base légale n'existerait en droit jurassien pour imposer une concession d'exploitation de géothermie profonde. Il s'agit toutefois d'une question distincte, examinée ci-après et sans rapport avec la garantie de la propriété. Dans la mesure où il est suffisamment motivé, le grief doit être rejeté.</w:t>
      </w:r>
    </w:p>
    <w:p>
      <w:r>
        <w:rPr>
          <w:b/>
        </w:rPr>
        <w:t>E. 3</w:t>
      </w:r>
    </w:p>
    <w:p>
      <w:r>
        <w:t>Les recourants soutiennent ensuite que l'exploitation de la géothermie profonde impliquerait un usage privatif du sous-sol qui BGE 145 II 32 S. 37 nécessiterait l'octroi d'une concession, comme le prévoient actuellement les législations de onze cantons. Le fait qu'une telle concession ne soit pas prévue par le droit cantonal constituerait une lacune et ne permettait pas de s'en dispenser et de se contenter d'un simple régime d'autorisation.</w:t>
      </w:r>
    </w:p>
    <w:p>
      <w:r>
        <w:rPr>
          <w:b/>
        </w:rPr>
        <w:t>E. 3.1</w:t>
      </w:r>
    </w:p>
    <w:p>
      <w:r>
        <w:t>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 ATF 143 II 598 consid. 4.1.1 p. 604; POLTIER/PIOTET, op. cit., p. 469 ss; cf. DUBEY/ZUFFEREY, Droit administratif général, 2014, n. 1416 ss p. 501 s.; HÄFELIN/MÜLLER/UHLMANN, Allgemeines Verwaltungsrecht, 7 e éd. 2016, n. 2718 p. 617; MOOR, Droit administratif, vol. III, 1992, ch. 3.2.1.1 p. 120; RHINOW/SCHMID/BIAGGINI/ UHLMANN, in Öffentliches Wirtschaftsrecht, 2 e éd. 2011, n. 38 p. 296; TANQUEREL, Manuel de droit administratif, 2011, n. 1029 p. 351). La concession présente l'avantage d'une certaine stabilité (dont le fondement réside dans sa nature partiellement bilatérale, par opposition à la décision d'autorisation exclusivement unilatérale); elle vise des activités sur lesquelles la collectivité publique dispose d'un monopole (HÄFELIN/MÜLLER/UHLMANN, op. cit., n. 2720 p. 618; MOOR, op. cit., ch. 3.2.1.1 p. 120; ATF 132 II 485 consid. 9.5 p. 513; ATF 80 I 239 consid. 3 p. 246). Lorsque l'octroi d'une concession n'est pas imposé par le droit supérieur, le canton est en principe libre de choisir entre la procédure d'autorisation, la conclusion d'un contrat de droit administratif ou l'octroi d'une concession.</w:t>
      </w:r>
    </w:p>
    <w:p>
      <w:r>
        <w:rPr>
          <w:b/>
        </w:rPr>
        <w:t>E. 3.2</w:t>
      </w:r>
    </w:p>
    <w:p>
      <w:r>
        <w:t>En l'occurrence, les recourants n'indiquent pas en vertu de quelle disposition ou principe de droit cantonal, fédéral ou constitutionnel, le canton du Jura aurait l'obligation de procéder par voie de concession. Le droit cantonal prévoit une concession obligatoire dans le domaine de l'exploitation minière, en vertu de la loi sur l'exploitation des matières premières minérales (Loi sur les mines; RSJU 931.1) adoptée le 26 octobre 1978 par l'Assemblée constituante du canton du Jura. Selon l'article premier de cette loi, une concession est nécessaire pour l'extraction de minerais, charbon, pétrole, gaz naturel et autres hydrocarbures solides, mi-solides, liquides ou gazeux, ainsi que de minéraux pour la production d'énergie atomique et les gisements salins (al. 2). L'exploitation d'autres matières premières minérales est laissée, dans le cadre des lois, à la discrétion des BGE 145 II 32 S. 38 propriétaires fonciers et des usufruitiers (al. 3). Lorsque l'intérêt public l'exige, le Parlement peut, par décret, faire dépendre d'une concession l'exploitation d'autres matières premières minérales (al. 4). La cour cantonale a considéré que la régale des mines concernait exclusivement l'exploitation des matières premières minérales, et non l'utilisation de la chaleur du sous-sol. Les recourants ne prétendent pas qu'une telle interprétation du droit cantonal serait arbitraire. La cour cantonale a, de même, estimé que le projet n'utilisait pas l'eau du sous-sol, mais uniquement la chaleur de ce dernier, de sorte qu'une concession au sens de l'art. 12 de la loi jurassienne du 28 octobre 2015 sur la gestion des eaux (LGEaux; RSJU 814.20) n'était pas nécessaire. Sur ce point également, les recourants ne se plaignent pas d'arbitraire. L'interprétation de la cour cantonale est d'ailleurs confirmée par la lecture de l'art. 2 LGEaux, qui définit strictement les notions de gestion et d'approvisionnement, ainsi que de l'art. 12 al. 1 de la même loi qui évoque une concession ou une autorisation, sans privilégier l'une ou l'autre.</w:t>
      </w:r>
    </w:p>
    <w:p>
      <w:r>
        <w:rPr>
          <w:b/>
        </w:rPr>
        <w:t>E. 3.3</w:t>
      </w:r>
    </w:p>
    <w:p>
      <w:r>
        <w:t>La fiche 5.07.1 du plan directeur cantonal prévoit la réalisation d'un projet-pilote de géothermie, selon la procédure du plan spécial cantonal. Il charge le Service cantonal compétent d'initier "les études sur la mise en place d'une procédure de concession ainsi que la perception d'une redevance pour l'exploitation de la chaleur du sous-sol, dans le cadre d'une modification de la loi cantonale sur les mines". Force est de constater que cette adaptation législative n'a pas encore eu lieu, même si, de manière générale, il apparaîtrait opportun que cette activité fasse l'objet d'une législation particulière vu les difficultés qu'elle suscite. En définitive, à défaut de règle contraignante du droit supérieur dans ce domaine, les cantons restent libres de choisir les conditions d'autorisation d'une installation de géothermie profonde. Un régime d'autorisation n'est pas exclu, même si le régime de la concession apparaît le plus adéquat (POLTIER/PIOTET, op. cit., p. 468 SS).</w:t>
      </w:r>
    </w:p>
    <w:p>
      <w:r>
        <w:rPr>
          <w:b/>
        </w:rPr>
        <w:t>E. 4</w:t>
      </w:r>
    </w:p>
    <w:p>
      <w:r>
        <w:t>Invoquant ensuite l'art. 2 al. 7 de la loi fédérale du 6 octobre 1995 sur le marché intérieur (LMI; RS 943.02), les recourants estiment que l'autorisation d'exploiter une installation de géothermie profonde devait faire l'objet d'un appel d'offres. Ils se réfèrent à la jurisprudence rendue en matière d'usage accru ou privatif du domaine public, ainsi qu'à un avis de la Commission fédérale de la concurrence (COMCO) qui soumet toute exploitation de la géothermie à l' art. 2 al. 7 LMI . Les recourants relèvent que la jurisprudence citée par la BGE 145 II 32 S. 39 cour cantonale (selon laquelle l' art. 2 al. 7 LMI ne s'appliquerait pas aux projets relevant de l'initiative personnelle) fait l'objet de critiques en doctrine.</w:t>
      </w:r>
    </w:p>
    <w:p>
      <w:r>
        <w:rPr>
          <w:b/>
        </w:rPr>
        <w:t>E. 4.1</w:t>
      </w:r>
    </w:p>
    <w:p>
      <w:r>
        <w:t>Sous le titre "Principes de la liberté d'accès au marché" (section 2 de la loi) et la note marginale "Liberté d'accès au marché", l' art. 2 al. 7 LMI prévoit que la transmission de l'exploitation d'un monopole cantonal ou communal à des entreprises privées doit faire l'objet d'un appel d'offres et ne peut discriminer des personnes ayant leur établissement ou leur siège en Suisse. Cette transmission est en général dénommée concession (de monopole), mais le terme employé n'est pas décisif en soi au regard du champ d'application de l' art. 2 al. 7 LMI ( ATF 143 II 598 consid. 4.1 p. 604). Les dispositions du droit des marchés publics ne contiennent pas de définition de la notion de "marché public". 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141 II 113 consid. 1.2.2 p. 117; ATF 125 I 209 consid. 6b p. 212 s.; arrêt 2C_198/2012 du 16 octobre 2012 consid. 5.1.2 et les références citées).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 ATF 125 I 209 consid. 6b p. 214 s.; arrêt 2C_198/2012 du 16 octobre 2012 consid. 5.1.3). Il en va en principe de même lorsque l'Etat octroie une concession exclusive pour l'utilisation du domaine public. Par cet acte, l'Etat n'obtient rien, mais se limite à accorder un droit à une entreprise privée et (en principe) à percevoir une contre-prestation ( ATF 144 II 184 consid. 2.2; ATF 143 II 120 consid. 6 p. 126; ATF 125 I 209 consid. 6b p. 212; arrêt 2C_198/2012 du 16 octobre 2012 consid. 5.1.3). Il en va toutefois différemment lorsque la concession octroyée est indissociablement liée à des contre-prestations d'une certaine importance qui devraient normalement faire l'objet d'un marché public (cf. ATF 135 II 49 consid. 4.4 p. 56; arrêt 2C_198/2012 du 16 octobre 2012 consid. 5.1.3 et les références citées). L'octroi d'une concession n'exclut donc pas d'emblée l'application du droit des marchés publics. Si l'octroi d'une BGE 145 II 32 S. 40 concession exclusive est inclus dans un marché global, l'appréciation de certaines circonstances peut en effet conduire à qualifier l'entier du marché de "marché public" (POLTIER, Droit des marchés publics, 2014, n. 188). Tel est notamment le cas lorsque l'octroi d'une concession exclusive ne vise pas en premier lieu un but de régulation, mais le transfert d'un droit ayant valeur pécuniaire pour l'accomplissement de tâches publiques; il paraît alors approprié, en tenant compte de toutes les circonstances, de qualifier l'entier du marché de marché public ( ATF 144 II 177 consid. 1.3.2, ATF 144 II 184 consid 2.2). La jurisprudence mentionnée dans l'arrêt attaqué (arrêt 2C_198/2012 du 16 octobre 2012 consid. 6.1) ne constitue dès lors pas un cas isolé ou un simple obiter dictum (comme le soutiennent les recourants en citant POLTIER/PIOTET, op. cit., p. 478), mais reflète une pratique constante encore récemment confirmée.</w:t>
      </w:r>
    </w:p>
    <w:p>
      <w:r>
        <w:rPr>
          <w:b/>
        </w:rPr>
        <w:t>E. 4.2</w:t>
      </w:r>
    </w:p>
    <w:p>
      <w:r>
        <w:t>En l'occurrence, la demande déposée par l'intimée portant sur un projet-pilote de géothermie profonde ne fait nullement suite à une volonté de l'Etat de déléguer à une entreprise privée la réalisation d'une tâche publique, qu'il s'agisse d'exploiter en général la géothermie profonde ou de mener un projet-pilote particulier. L'Etat s'est en effet contenté d'autoriser l'intimée (personne morale privée) à exercer, à la demande de cette dernière, une activité déterminée. La réalisation du projet-pilote ne saurait d'ailleurs être considérée comme rattachée à un marché global au sens de la jurisprudence, puisqu'il s'agit uniquement d'un projet ponctuel à un endroit déterminé. L' art. 2 al. 7 LMI n'était donc pas applicable et le grief doit être rejeté.</w:t>
      </w:r>
    </w:p>
    <w:p>
      <w:r>
        <w:rPr>
          <w:b/>
        </w:rPr>
        <w:t>E. 5</w:t>
      </w:r>
    </w:p>
    <w:p>
      <w:r>
        <w:t>Les recourants font encore valoir que l'arrêt attaqué violerait l' art. 30 Cst. dans la mesure où la cour cantonale a incorporé le contenu du permis de construire dans le plan spécial d'affectation. Selon les recourants, ce procédé ne reposerait pas sur une base légale et les priverait du recours administratif de première instance prévu en matière de permis de construire. La cour cantonale a considéré que le permis de construire aurait dû être délivré par le Conseil communal, avec recours possible auprès du Juge administratif du Tribunal de première instance, puis de la Cour administrative. Le Gouvernement n'était donc pas compétent sur ce point, y compris lors de l'adoption d'un plan spécial. La Cour administrative a toutefois considéré que son pouvoir d'examen et de décision lui permettait d'intégrer le contenu du permis de construire à la planification spéciale; il s'agissait d'une modification formelle de peu d'importance puisque les procédures de planification et BGE 145 II 32 S. 41 d'autorisation avaient toujours été liées. L'art. 1 al. 1 let. b de la loi jurasienne 25 juin 1987 sur les constructions et l'aménagement du territoire (LCAT; RSJU 701.1) permettait de régler tous les aspects du projet dans la planification spéciale.</w:t>
      </w:r>
    </w:p>
    <w:p>
      <w:r>
        <w:rPr>
          <w:b/>
        </w:rPr>
        <w:t>E. 5.1</w:t>
      </w:r>
    </w:p>
    <w:p>
      <w:r>
        <w:t>Dans la mesure où il porte sur l'application du droit cantonal, le grief doit être examiné sous l'angle de l'arbitraire. Dans ce cas,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134 II 244 consid. 2.2; ATF 133 II 396 consid. 3.2).</w:t>
      </w:r>
    </w:p>
    <w:p>
      <w:r>
        <w:rPr>
          <w:b/>
        </w:rPr>
        <w:t>E. 5.2</w:t>
      </w:r>
    </w:p>
    <w:p>
      <w:r>
        <w:t>Selon l'art. 1 LCAT, un permis de construire est requis pour toute construction, installation ou mesure qui tombe sous le coup de la législation sur les constructions, en particulier: a) la construction, la transformation importante et la démolition de bâtiments, de parties de bâtiments et de toute autre installation; b) la création et l'extension de terrains de camping, de lieux de décharge et de lieux d'extraction de matériaux à moins que toutes les conditions aient été définies précisément par le plan spécial; c) les modifications importantes apportées à un terrain. La lettre b de cette disposition prévoit ainsi clairement qu'une autorisation de construire est superflue lorsque le plan revêt une précision équivalente. Les installations de géothermie ne sont certes pas mentionnées dans cette disposition mais il y a lieu de relever, d'une part, que celle-ci présente un caractère exemplatif et, d'autre part, que le législateur de l'époque (1993) n'avait pas pu envisager le cas de ce genre d'installations. La fiche 5.07.1 du plan directeur prévoit clairement, non seulement que la procédure décisive pour un projet-pilote est celle du plan spécial, mais BGE 145 II 32 S. 42 aussi que tous les documents et autorisations nécessaires lui sont rattachés (étude d'impact sur l'environnement, autorisation ou concession, défrichement, autorisations spéciales et plans des constructions et installations). Au vu de cette disposition (qui ne lie certes que les autorités mais peut constituer un élément d'interprétation de la loi), l'art. 1 LCAT pouvait sans arbitraire être interprété dans le sens défini par la cour cantonale, permettant d'intégrer à la planification spéciale tous les éléments figurant dans l'autorisation de construire, d'autant que l'ensemble des éléments de ce projet a fait l'objet d'une unique mise à l'enquête.</w:t>
      </w:r>
    </w:p>
    <w:p>
      <w:r>
        <w:rPr>
          <w:b/>
        </w:rPr>
        <w:t>E. 5.3</w:t>
      </w:r>
    </w:p>
    <w:p>
      <w:r>
        <w:t>Les recourants invoquent certes les garanties générales de procédure judiciaire figurant à l' art. 30 al. 1 Cst. Ils n'indiquent toutefois pas en vertu de quelle disposition ils auraient nécessairement droit à deux instances cantonales de recours. Si les dispositions de l'autorisation de construire pouvaient, comme on l'a vu, être formellement intégrées au plan spécial, elles devaient être soumises aux mêmes voies de droit. L' art. 33 al. 4 LAT (RS 700) prévoit ainsi que les recours contre les décisions rendues par les autorités cantonales doivent être portés devant une autorité de recours unique lorsque l' art. 25a LAT est applicable, la Cour administrative disposant d'un plein pouvoir d'examen. Dans la mesure où il est suffisamment motivé, le grief doit lui aussi être rejeté.</w:t>
      </w:r>
    </w:p>
    <w:p>
      <w:r>
        <w:rPr>
          <w:b/>
        </w:rPr>
        <w:t>E. 6</w:t>
      </w:r>
    </w:p>
    <w:p>
      <w:r>
        <w:t>Les recourants reprochent encore à la cour cantonale d'avoir refusé de tenir compte de la dépréciation de leurs immeubles. Ils se fondent sur les art. 10 al. 1 et 11 LPE (RS 814.01), et relèvent que les dépréciations immobilières devraient à tout le moins être prises en compte dans l'appréciation du projet, au titre de la proportionnalité. Les propriétés des recourants seraient exposées à une forte dépréciation, notamment les occupants de la ferme qui devraient être relogés durant la phase de forage et devraient probablement abandonner leur production laitière.</w:t>
      </w:r>
    </w:p>
    <w:p>
      <w:r>
        <w:rPr>
          <w:b/>
        </w:rPr>
        <w:t>E. 6.1</w:t>
      </w:r>
    </w:p>
    <w:p>
      <w:r>
        <w:t>Les dispositions de la LPE n'imposent nullement une indemnisation immédiate des pertes de valeur immobilière au stade de la planification ou d'une autorisation de construire. L' art. 10 LPE traite en effet de la protection contre les catastrophes et l' art. 11 al. 1 LPE de la limitation des émissions. L'application directe de l'art. 10 implique une obligation de prendre les mesures propres à assurer la protection de la population et de l'environnement s'agissant de l'emplacement, des distances de sécurité nécessaires, des mesures BGE 145 II 32 S. 43 techniques de sécurité, de la surveillance de l'installation et de l'organisation du système d'alerte.</w:t>
      </w:r>
    </w:p>
    <w:p>
      <w:r>
        <w:rPr>
          <w:b/>
        </w:rPr>
        <w:t>E. 6.2</w:t>
      </w:r>
    </w:p>
    <w:p>
      <w:r>
        <w:t>En l'occurrence, l'arrêt attaqué a examiné la question des risques liés à l'utilisation de fluide caloporteur durant la phase d'exploitation. La cour cantonale a estimé que le risque OPAM pouvait être considéré comme acceptable moyennant des conditions à fixer lorsque le choix du fluide aura été fait. Le risque sismique a lui aussi été pris en compte et jugé admissible compte tenu des mesures prévues (choix d'un site avantageux, nouvelle technique de stimulation par multi-fractures avec un test préalable, système de surveillance avec nomination d'un groupe d'experts indépendants, système de signalisation avec arrêt des opérations en cas de séisme, surveillance des bâtiments). Une analyse des risques et des montants des dommages a été effectuée, concluant notamment à l'obligation pour l'exploitant de bénéficier d'une assurance responsabilité civile de 80 millions de francs au minimum. Les objections relatives au bruit ont également été rejetées et les recourants ne reviennent plus sur l'ensemble de ces questions.</w:t>
      </w:r>
    </w:p>
    <w:p>
      <w:r>
        <w:rPr>
          <w:b/>
        </w:rPr>
        <w:t>E. 6.3</w:t>
      </w:r>
    </w:p>
    <w:p>
      <w:r>
        <w:t>Les recourants ne contestent d'ailleurs pas que les mesures de réduction des risques sont adéquates et suffisantes au sens des dispositions de droit fédéral. Ils évoquent la perte de valeur de leurs imeubles, sans toutefois tenter d'expliquer la nature de cette perte. On ne comprend pas en particulier s'ils entendent se plaindre d'une perte de valeur résultant de la seule présence de l'installation elle-même et des immissions qui en émanent (restrictions aux droits de voisinage), ou d'un éventuel dommage pouvant résulter, notamment, d'un séisme. Les deux premiers cas relèvent d'une éventuelle procédure d'expropriation, le troisième de la responsabilité civile de l'exploitant qui, comme on l'a vu, fait l'objet d'une couverture d'assurance jugée suffisante. C'est dès lors à juste titre que la cour cantonale a considéré que la question de la perte de valeur n'avait pas à être examinée dans le cadre de l'adoption du plan spécial.</w:t>
      </w:r>
    </w:p>
    <w:p>
      <w:r>
        <w:rPr>
          <w:b/>
        </w:rPr>
        <w:t>E. 7</w:t>
      </w:r>
    </w:p>
    <w:p>
      <w:r>
        <w:t>Les recourants contestent enfin le déclassement de surfaces d'assolement (SDA), relevant que le canton ne disposerait que de réserves très limitées. Ils estiment que le principe du maintien de ces surfaces devrait prévaloir, que le projet litigieux - à tout le moins la centrale électrique - pourrait aussi prendre place en zone à bâtir et qu'une compensation intégrale des SDA utilisées devrait être exigée.</w:t>
      </w:r>
    </w:p>
    <w:p>
      <w:r>
        <w:rPr>
          <w:b/>
        </w:rPr>
        <w:t>E. 7.1</w:t>
      </w:r>
    </w:p>
    <w:p>
      <w:r>
        <w:t>Les surfaces d'assolement sont des parties du territoire qui se prêtent à l'agriculture ( art. 6 al. 2 let. a LAT ) et qui doivent être BGE 145 II 32 S. 44 préservées en vertu de l' art. 3 al. 2 let. a LAT . Selon l' art. 26 OAT (RS 700.1),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Pour le canton du Jura, la surface minimale des SDA a été fixée à 15'000 ha; selon l'arrêt attaqué, le canton dispose d'un excédent de 80 ha (au 1 er janvier 2011 selon la fiche 3.07 du plan directeur cantonal). 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Il y a lieu d'évaluer dans quelle mesure le terrain concerné pourrait à nouveau être cultivé et, lorsque la surface minimale cantonale n'est pas atteinte ou ne l'est que de peu, une compensation doit être opérée ( ATF 134 II 217 consid. 3.3 p. 220).</w:t>
      </w:r>
    </w:p>
    <w:p>
      <w:r>
        <w:rPr>
          <w:b/>
        </w:rPr>
        <w:t>E. 7.2</w:t>
      </w:r>
    </w:p>
    <w:p>
      <w:r>
        <w:t>Selon l' art. 30 al. 1 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Cette disposition s'applique lorsque les cantons disposent de réserves de SDA; dans le BGE 145 II 32 S. 45 cas contraire, l' art. 30 al. 2 OAT s'applique et empêche en principe un tel classement à moins qu'il soit compensé, exigeant au contraire la création de zones réservées afin de garantir durablement la surface d'assolement attribuée à chaque canton (DETEC/ARE, rapport explicatif relatif au projet mis en consultation de révision partielle de l'OAT, août 2013, p. 8). L' art. 30 al. 1 bis OAT impose de s'assurer que le sacrifice de SDA pour la création de zones à bâtir est absolument nécessaire du point de vue du canton. L'autorité de planification doit examiner quelles alternatives pourraient raisonnablement entrer en considération (idem). Se référant à sa propre jurisprudence, la cour cantonale a considéré que lorsque la disponibilité de SDA est supérieure au quota fixé par la Confédération, les conditions posées à l' art. 30 al. 1 bis OAT ne seraient pas applicables lorsque la solicitation de SDA (de réserve) est compensée. L'Office fédéral du développement territorial (ARE) conteste cette interprétation. L' art. 30 OAT est une disposition d'application de l'art. 15 al. 3 in fine LAT, qui impose le maintien des SDA. Comme le relève l'ARE dans son rapport explicatif, l' art. 30 al. 1 bis OAT s'applique lorsque le canton dispose de SDA de réserve. La loi ne prescrivant rien à cet égard, les cantons peuvent en principe en disposer, moyennant comme on l'a vu une pesée de tous les intérêts en présence; les critères posés à l' art. 30 al. 1 bis let. a et b OAT peuvent être pris en compte dans le cadre de cette pesée d'intérêts et l'ordonnance apparaît ainsi, dans cette mesure, compatible avec les exigences de la loi. En revanche, faute de base légale claire, une obligation systématique de compensation ne saurait être imposée lorsque le canton dispose, comme en l'espèce, de réserves de SDA. Une telle compensation, totale ou partielle, peut en revanche constituer un critère important pour juger de l'admissibilité de l'opération.</w:t>
      </w:r>
    </w:p>
    <w:p>
      <w:r>
        <w:rPr>
          <w:b/>
        </w:rPr>
        <w:t>E. 7.3</w:t>
      </w:r>
    </w:p>
    <w:p>
      <w:r>
        <w:t>La fiche 5.07.1 du plan directeur cantonal relève que la géothermie profonde représente une source d'énergie indigène, propre, quasiment illimitée et pouvant fournir de l'électricité en continu indépendamment des conditions météorologiques tout en ayant un faible impact sur le paysage. Elle constitue ainsi un complément évident aux autres énergies renouvelables que sont l'éolien, le solaire et l'hydraulique et présente l'avantage d'une production non seulement sans émissions de CO 2 , mais de plus en continu. Par exemple, la réalisation de trois centrales géothermiques exploitant chacune cinq doublets permettrait la production d'environ 334 GWh, soit la majorité des besoins en nouvelles énergies renouvelables et près de 50 % de BGE 145 II 32 S. 46 la consommation électrique cantonale estimée pour 2050. La chaleur résiduelle pourrait encore être utilisée pour le chauffage à distance. Le développement et la promotion de la géothermie profonde constituent ainsi l'un des mandats de planification au niveau cantonal. L'intérêt du projet dépasse au demeurant les frontières cantonales: dans son rapport du 3 mars 2017 "Conception et mise en oeuvre de mesures d'encouragement pour l'utilisation de la géothermie profonde en Suisse", le Conseil fédéral relève que la géothermie fait partie des technologies pouvant bénéficier d'un soutien dans la Stratégie énergétique 2050. Une révision de la loi fédérale sur l'énergie doit ainsi prévoir trois instruments d'encouragements (contribution à la prospection, garanties pour la géothermie et rétribution du courant injecté). Toutefois, compte tenu de la faible expérience en Suisse, des travaux de prospection et d'exploration apparaissent nécessaires (p. 11). Les projets-pilotes sont ainsi encouragés afin de réduire les risques techniques et économiques. La réalisation du projet litigieux correspond ainsi à un intérêt à tout le moins cantonal au sens de l' art. 30 al. 1 bis OAT . S'agissant de sa localisation, le projet a fait l'objet d'une analyse multicritères du 26 octobre 2012. Il en ressort que 8 sites potentiels ont été examinés, choisis selon des critères géologiques ainsi que pour la proximité de la centrale électrique et des accès routiers. L'implantation doit se faire au voisinage de la zone à bâtir et non à l'intérieur de celle-ci, compte tenu des risques sismiques et des nuisances sonores, mais aussi de la possibilité de fournir aux habitations du chauffage à distance. La surface nécessaire était estimée à 2 ha. Trois sites ont été retenus (tous situés en zone agricole et représentant également des SDA), dont celui de Glovelier, contigu à la zone industrielle existante et déjà pour moitié en zone d'activités, de sorte que le classement en zone à bâtir pouvait être limité (9'244 m 2 ). Il y a lieu de relever qu'une surface similaire (9'320 m 2 ) a été déclassée, conformément à la disposition transitoire de l' art. 38a al. 2 LAT , et que la perte de SDA a été partiellement compensée, à hauteur de 5'188 m 2 , et s'élève au total à 4'056 m 2 . Compte tenu de l'ensemble de ces éléments, il y a lieu de retenir que le projet litigieux satisfait aux exigences de l' art. 30 al. 1 bis OAT .</w:t>
      </w:r>
    </w:p>
    <w:p>
      <w:r>
        <w:rPr>
          <w:b/>
        </w:rPr>
        <w:t>E. 8</w:t>
      </w:r>
    </w:p>
    <w:p>
      <w:r>
        <w:t>Dans le courant de la procédure, les parties ont évoqué l'initiative populaire cantonale "Contre la géothermie profonde dans le Jura". Les recourants ont requis en vain la suspension de la procédure jusqu'à droit connu sur le traitement de cette initiative. L'intimée a pour BGE 145 II 32 S. 47 sa part indiqué que par arrêt du 27 juin 2018, l'initiative a été déclarée nulle par la Cour constitutionnelle cantonale. Ces éléments, qui relèvent exclusivement des droits politiques, sont sans influence sur la conformité du projet aux dispositions du droit fédéral et cantonal, telle qu'examinée ci-dessus. Les recourants ont par ailleurs évoqué un séisme survenu en Corée du Sud; ils ont demandé la suspension de la procédure jusqu'à ce qu'un rapport d'analyse soit remis au Gouvernement sur les causes de ce séisme. Cette demande a elle aussi été rejetée, par ordonnance du 18 janvier 2018, au motif qu'un tel rapport (dont le Gouvernement jurassien avait annoncé vouloir tenir compte avant le lancement des travaux) ne permettait pas d'apporter un éclairage nouveau sur les griefs soulevés, lesquels ne concernaient pas le risque sismique. Un tel rapport, de même que les griefs y relatifs, constitueraient un moyen de fait nouveau au sens de l' art. 99 al. 1 LTF , à l'appui de griefs qui n'ont pas été soulevés dans le recours et qui seraient dès lors tardifs. Au demeurant, les risques induits par la géothermie ont été examinés de manière approfondie par les autorités cantonales administratives, exécutive et judiciaire, ainsi que par l'Office fédéral de l'environnement, sur la base de divers rapports techniques et scientifiques (cf. consid. 6.2 ci-dessus). Ces autorités ont en outre mis en place un suivi relatif aux dangers induits par cette installation, ce dont il y a lieu de prendre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