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189</w:t>
      </w:r>
    </w:p>
    <w:p>
      <w:r>
        <w:t>Bundesgericht (BGE), 2019-04-24, FR</w:t>
      </w:r>
    </w:p>
    <w:p>
      <w:r>
        <w:rPr>
          <w:b/>
        </w:rPr>
        <w:t xml:space="preserve">Quelle: </w:t>
      </w:r>
      <w:r>
        <w:t>https://mcp.opencaselaw.ch/entscheid/bge_BGE_145_II_189</w:t>
      </w:r>
    </w:p>
    <w:p>
      <w:r>
        <w:t>FR: ATF 145 II 189</w:t>
      </w:r>
    </w:p>
    <w:p>
      <w:r>
        <w:t>IT: DTF 145 II 189</w:t>
      </w:r>
    </w:p>
    <w:p>
      <w:pPr>
        <w:pStyle w:val="Heading2"/>
      </w:pPr>
      <w:r>
        <w:t>Regeste</w:t>
      </w:r>
    </w:p>
    <w:p>
      <w:r>
        <w:t>Regeste Art. 22 USG; Art. 31 Abs. 2 LSV; Ausnahmebewilligung für ein Gebäude im städtischen Gebiet, das die Immissionsgrenzwerte (IGW) nicht bei allen Fenstern lärmempfindlicher Räume einhält. Führen die in Art. 31 Abs. 1 lit. a und b LSV vorgesehenen Massnahmen nicht zur Einhaltung der IGW auf der Höhe aller Fenster lärmempfindlicher Räume, so darf die Baubewilligung nur erteilt werden, wenn die kantonale Behörde zustimmt und an der Errichtung des Gebäudes ein überwiegendes Interesse besteht (Art. 31 Abs. 2 LSV) (E. 8.1). Ein solches Interesse wurde in Bezug auf ein Bauprojekt bejaht, das im städtischen Bereich in einem zum Wohnen geeigneten Quartier errichtet werden soll und damit dem öffentlichen Interesse an der Schaffung von Wohnraum und der Siedlungsentwicklung nach innen entspricht (E. 8.3.2), und das Lärmschutzmassnahmen (Ausrichtung der Räume, nicht zu öffnende Fenster, Doppelfenster) vorsieht, welche die Immissionen auf der Höhe aller Fenster der lärmempfindlichsten Räume beschränken und eine Belüftung erlauben, welche die Überschreitung der Lärmgrenzwerte nicht spürbar werden lässt (E. 8.3.3 und 8.4).</w:t>
      </w:r>
    </w:p>
    <w:p>
      <w:r>
        <w:t>Regeste Art. 22 LPE; art. 31 al. 2 OPB; octroi d'une autorisation de construire dérogatoire pour un immeuble d'habitation, en milieu urbain, ne respectant pas les valeurs limites d'immissions (VLI) au niveau de chacune des fenêtres des locaux à usage sensible. Lorsque les mesures fixées à l'art. 31 al. 1 let. a et b OPB ne permettent pas de respecter les VLI à la hauteur de chacune des fenêtres des locaux à usage sensible, le permis de construire ne peut être délivré qu'avec l'assentiment de l'autorité cantonale et pour autant que le projet présente un intérêt prépondérant (art. 31 al. 2 OPB) (consid. 8.1). Intérêt admis s'agissant d'un projet implanté en milieu urbain, dans un quartier se prêtant à l'habitation et répondant à des objectifs d'intérêt public liés à la création de logements ainsi qu'à la densification du milieu urbain vers l'intérieur (consid. 8.3.2); et qui est assorti de mesures de protection contre le bruit (disposition des locaux, fenêtres non-ouvrantes, survitrages) limitant les immissions à la hauteur de chacune des fenêtres des pièces les plus sensibles et permettant leur aération sans subir les conséquences d'un dépassement des limites de bruit (consid. 8.3.3 et 8.4).</w:t>
      </w:r>
    </w:p>
    <w:p>
      <w:r>
        <w:t>Regesto Art. 22 LPAmb; art. 31 cpv. 2 OIF; rilascio di una licenza edilizia in deroga per un immobile di abitazione, in un'area urbana, che non rispetta i valori limite d'immissione (VLI) per tutte le finestre dei locali sensibili al rumore. Quando i provvedimenti previsti all'art. 31 cpv. 1 lett. a e b OIF non consentono di rispettare i VLI all'altezza di ognuna delle finestre dei locali sensibili al rumore, la licenza edilizia può essere rilasciata soltanto con il consenso dell'autorità cantonale e nella misura in cui il progetto presenti un interesse preponderante (art. 31 cpv. 2 OIF) (consid. 8.1). Interesse ammesso trattandosi di un progetto previsto nell'area urbana, in un quartiere che si presta all'abitazione e che risponde a obiettivi d'interesse pubblico legati alla realizzazione di appartamenti nonché alla densificazione all'interno dell'area urbana (consid. 8.3.2); e che è corredato da provvedimenti di protezione acustica (disposizione dei locali, finestre non apribili, vetri doppi) limitanti le immissioni all'altezza di ogni finestra dei locali più sensibili e che permettono la loro aerazione senza subire le conseguenze di un superamento dei limiti di rumore (consid. 8.3.3 e 8.4).</w:t>
      </w:r>
    </w:p>
    <w:p>
      <w:pPr>
        <w:pStyle w:val="Heading2"/>
      </w:pPr>
      <w:r>
        <w:t>Erwägungen</w:t>
      </w:r>
    </w:p>
    <w:p>
      <w:r>
        <w:rPr>
          <w:b/>
        </w:rPr>
        <w:t>E. 8</w:t>
      </w:r>
    </w:p>
    <w:p>
      <w:r>
        <w:t>Selon le recourant, les juges cantonaux auraient à tort considéré que les conditions autorisant la DGE à donner son assentiment au projet, en dépit des dépassements des VLI, étaient réalisées. Il invoque une violation de l' art. 31 al. 2 OPB .</w:t>
      </w:r>
    </w:p>
    <w:p>
      <w:r>
        <w:rPr>
          <w:b/>
        </w:rPr>
        <w:t>E. 8.1</w:t>
      </w:r>
    </w:p>
    <w:p>
      <w:r>
        <w:t>Selon l'art. 22 de la loi fédérale du 7 octobre 1983 sur la protection de l'environnement (LPE; RS 814.01), les permis de construire de nouveaux immeubles destinés au séjour prolongé de personnes ne seront délivrés que si les valeurs limites d'immissions ne sont pas dépassées (al. 1). Si les valeurs limites d'immissions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 art. 31 al. 1 OPB précise que, lorsque les valeurs limites d'immissions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 art. 39 al. 1, 1 re phrase, OPB, pour les bâtiments, les immissions de bruit seront mesurées au milieu de la fenêtre ouverte des locaux à usage sensible au bruit. La jurisprudence a précisé que pour répondre aux exigences des art. 22 LPE , 31 al. 1 et 39 al. 1 OPB, les valeurs limites d'immissions doivent être respectées à la hauteur de chacune des fenêtres des locaux à usage sensible (cf. ATF 142 II 100 consid. 4.7 p. 111). Selon l' art. 31 al. 2 OPB , si les mesures fixées à l' art. 31 al. 1 let. a et b OPB ne permettent pas de respecter les valeurs limites d'immissions, BGE 145 II 189 S. 195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(arrêt 1C_704/2013 du 17 septembre 2014 consid. 6.2, in DEP 2014 p. 643 avec une note de ANNE-CHRISTINE FAVRE). Au regard du but poursuivi par l' art. 22 LPE ,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d'immissions et la possibilité d'élever le degré de sensibilité de la zone ( art. 43 al. 2 OPB ). Des exigences liées à l'aménagement du territoire - à l'instar de la possibilité de combler une brèche dans le territoire bâti (cf. arrêt 1C_704/2013 précité consid. 6.2), de la densification des surfaces destinées à l'habitat ou encore du développement de l'urbanisation vers l'intérieur du milieu bâti ( art. 8a al. 1 let . c et e de la loi fédérale du 22 juin 1979 sur l'aménagement du territoire [LAT; RS 700]) - peuvent également entrer en considération, tout particulièrement lorsqu'une application stricte de l' art. 22 LPE serait susceptible de conduire à un résultat disproportionné eu égard à l'ensemble des circonstances ( ATF 142 II 100 consid. 4.6 p. 111; cf. arrêt 1C_704/2013 précité consid. 6.2; voir également LUKAS BÜHLMANN, Construire dans des lieux bruyants: Pratique de la fenêtre d'aération admise à titre exceptionnel seulement, in Inforaum/VLP-ASPAN septembre 2016, p. 16 ss).</w:t>
      </w:r>
    </w:p>
    <w:p>
      <w:r>
        <w:rPr>
          <w:b/>
        </w:rPr>
        <w:t>E. 8.2</w:t>
      </w:r>
    </w:p>
    <w:p>
      <w:r>
        <w:t>La cour cantonale a établi sans arbitraire que, de jour, les VLI n'étaient dépassées qu'au niveau de la façade sud. Elle a constaté que les pièces donnant au sud étaient, à chaque étage, des séjours avec cuisine. Les deux fenêtres situées en milieu de façade étaient fixes avec ouvrant de nettoyage. Ces dernières n'étaient pas destinées à être ouvertes régulièrement; ce mécanisme permettait l'ouverture occasionnelle pour le nettoyage depuis l'intérieur. Les grandes fenêtres des balcons pouvaient, quant à elles, être ouvertes (porte-coulissante). Les fenêtres latérales, donnant respectivement sur les façades est et ouest, étaient, pour leur part, composées de deux vantaux: le premier fixe (avec ouvrant de nettoyage) et le deuxième pouvant être ouvert, mais BGE 145 II 189 S. 196 protégé par un survitrage. Procédant ensuite plus particulièrement à l'examen des dépassements diurnes des VLI, la cour cantonale a retenu que le niveau le plus élevé, à savoir 68 dB(A), se situait au milieu des fenêtres fixes, au rez-supérieur et au 1 er étage, à savoir dans quatre pièces au total. A l'emplacement des fenêtres ouvrantes, un dépassement moins important, de 2 dB(A), était prévisible pour les deux séjours du rez-supérieur, tandis qu'aux autres étages, la VLI pourrait être respectée. La cour cantonale a relevé que, compte tenu de la configuration des fenêtres, il demeurait possible, pour obtenir une aération naturelle du séjour, tout en se protégeant du bruit routier, de maintenir fermées les fenêtres de la façade sud et d'ouvrir la partie de la fenêtre latérale protégée par un survitrage. Dans les autres chambres, sans ouvertures en façade sud, aucun dépassement de la VLI diurne n'était enfin à déplorer. De nuit, les dépassements étaient en revanche plus importants. Un dépassement de 6 dB(A) a ainsi été établi à la hauteur des fenêtres du milieu de la façade sud, au rez-supérieur et au 1 er étage; les autres dépassements significatifs, oscillant entre 4 et 6 dB(A), étaient également situés sur cette même façade. Sur les autres devantures, sur lesquels donnaient les chambres (chambres à coucher, bureaux), les dépassements calculés variaient en revanche entre 1 et 3 dB(A). Sur la base de la pratique prônée par la DGE en matière de projets prenant place en milieu urbain, en particulier dans le périmètre du PALM, à savoir le respect des VLI sur au moins une fenêtre des locaux à usage sensible, d'une part, et forte, d'autre part, des développements qui précèdent, l'instance précédente a considéré que la délivrance du permis de construire était compatible avec l' art. 31 al. 2 OPB . Elle a en particulier jugé que, dans ces circonstances, l'intérêt à l'édification du bâtiment, pour des motifs d'aménagement du territoire, liés notamment au développement de l'urbanisme vers l'intérieur et à la pénurie de logements, devait l'emporter sur une stricte application des normes de protection contre le bruit. Elle a estimé qu'avec les fenêtres des séjours et des chambres à coucher telles qu'elles avaient été conçues, la protection des habitants contre le bruit routier était assurée de manière adéquate.</w:t>
      </w:r>
    </w:p>
    <w:p>
      <w:r>
        <w:rPr>
          <w:b/>
        </w:rPr>
        <w:t>E. 8.3.1</w:t>
      </w:r>
    </w:p>
    <w:p>
      <w:r>
        <w:t>Le recourant reproche à la DGE de n'avoir pas examiné la situation concrète, mais de s'être fondée sur sa pratique consistant à valider certains projets pour autant que chaque local à usage sensible BGE 145 II 189 S. 197 soit pourvu d'une fenêtre protégée où les VLI sont respectées. A la lumière de la jurisprudence récente du Tribunal fédéral, condamnant, sur le principe, la pratique dite de la fenêtre d'aération - interdiction rappelée dans l'arrêt de renvoi (cf. arrêt 1C_429/2016 consid. 5.1.3 et la référence à l' ATF 142 II 100 ) -, on peut comprendre que le recourant s'étonne de la position de la DGE. La direction cantonale a toutefois précisé que sa pratique s'appliquait aux projets destinés à prendre place dans les zones urbaines de l'agglomération Lausanne-Morges (cf. BÜHLMANN, op. cit., p. 17 i.i). Quant à l'instance précédente, contrairement à ce que soutient le recourant, celle-ci a procédé à un examen circonstancié de la situation; elle a en particulier pris soin d'établir, au niveau de chacune des fenêtres, le dépassement des VLI tant diurnes que nocturnes. Elle a de surcroît également tenu compte de la situation urbaine du projet et des impératifs liés à l'aménagement du territoire que cela suppose. Il est ainsi erroné d'affirmer que le projet n'aurait pas fait l'objet d'un examen concret.</w:t>
      </w:r>
    </w:p>
    <w:p>
      <w:r>
        <w:rPr>
          <w:b/>
        </w:rPr>
        <w:t>E. 8.3.2</w:t>
      </w:r>
    </w:p>
    <w:p>
      <w:r>
        <w:t>S'agissant plus spécifiquement de la situation du projet, il faut effectivement admettre que celui-ci prend place en zone urbaine, plus particulièrement dans le périmètre du PALM. Cette planification s'inscrit dans la politique fédérale des agglomérations (cf. PALM 2016 - volume A, p. 11 et 31 ss); elle poursuit des objectifs d'aménagement du territoire tendant à favoriser le développement de l'urbanisme vers l'intérieur (cf. art. 3 al. 3 let. a bis LAT), ce que le recourant ne discute pas. L'agglomération Lausanne-Morges constitue en outre un important bassin de population (cf. Plan directeur cantonal du canton de Vaud, fiche R11, p. 361), lequel souffre notoirement d'une pénurie de logements et d'un manque de diversification de ceux-ci (cf. PALM 2016 - volume A, p. 40). Par ailleurs, lors de l'inspection locale du 7 mars 2016, la cour cantonale a constaté que le quartier dans lequel se trouvaient le terrain litigieux ainsi que les différents bâtiments du recourant se prêtait bien à l'habitation, malgré le bruit routier; à cette occasion, le recourant avait du reste relevé - ce qu'il ne nie pas - la bonne qualité de vie dans ses propres appartements, dont plusieurs donnent pourtant sur l'avenue de Morges, où les VLI sont également dépassées (cf. Cadastre du bruit routier 2010, disponible à l'adresse www.geo.vd.ch/theme/environnement_thm , consulté le 28 mars 2019). Il apparaît ainsi que de par sa nature et sa situation, le projet répond à des objectifs d'intérêt public liés à la création de logements ainsi qu'à la densification du milieu urbain vers l'intérieur. Quoi qu'en BGE 145 II 189 S. 198 dise le recourant, une telle situation commande d'examiner si l'interdiction de construire de principe, instituée par les art. 22 LPE et 31 al. 1 OPB, en cas de dépassement des VLI (cf. CHRISTOPH JÄGER, Bâtir dans les secteurs exposés au bruit: La pesée des intérêts au titre de l' art. 31 al. 2 OPB , in Territoire et environnement/VLP-ASPAN, juillet 2009, n. 2.1.2.3 p. 5), doit être strictement observée ou si le projet peut être autorisé en application de l' art. 31 al. 2 OPB . Il convient en particulier d'examiner l'ampleur du dépassement des valeurs limites d'immissions et l'usage des différentes pièces du projet.</w:t>
      </w:r>
    </w:p>
    <w:p>
      <w:r>
        <w:rPr>
          <w:b/>
        </w:rPr>
        <w:t>E. 8.3.3</w:t>
      </w:r>
    </w:p>
    <w:p>
      <w:r>
        <w:t>A cet égard, on observe, avec la cour cantonale, que les mesures de protection contre le bruit ordonnées par la DGE, ainsi que la configuration des locaux conduisent à une limitation des nuisances, assurant des dépassements mesurés, pour des logements situés en zone urbaine à densifier. Ces mesures permettent en particulier de limiter les immissions à l'emplacement des pièces les plus sensibles, à savoir les chambres à coucher, prévues en façade est et ouest. Il ressort spécialement des plans que, à la hauteur des chambres, les dépassements de VLI n'interviennent que de nuit et au niveau des fenêtres non ouvrantes (avec ouverture de nettoyage). Elles seront en revanche respectées, de jour comme de nuit, au niveau des fenêtres ouvrantes; aux fenêtres les plus exposées, la pose d'un survitrage permettra également l'observation des VLI (cf. plans du 18 décembre 2017, Façade est et Façade ouest), de sorte qu'il sera possible de maintenir une fenêtre ouverte, sans subir les conséquences d'un dépassement des limites de bruit. Par ailleurs, comme le relève l'OFEV, de nuit les dépassements les plus importants sont concentrés sur la façade sud, où il n'y a pas de chambre à coucher. S'agissant toujours de la façade sud, exposée au premier plan aux immissions, le recourant n'avance aucun élément commandant de s'écarter de l'opinion de la DGE, autorité spécialisée - suivie par le Tribunal cantonal et non contredite par l'OFEV -, selon laquelle les dépassements résiduels, de jour, à l'endroit des fenêtres ouvrantes, peuvent encore être qualifiés de moindre [2 dB(A)]. On observe d'ailleurs, avec la cour cantonale, que même aux points les plus critiques, où les VLI sont fortement dépassées [+ 6 dB(A)], le niveau de bruit [Lr de 61 dB(A)] est sensiblement inférieur aux valeurs d'alarme (cf. ch. 2 de l'annexe 3 l'OPB; à ce propos, voir également JÄGER, op. cit., n. 4.2.2.1 p. 19). Enfin, les solutions préconisées pour le projet, notamment la condamnation de certaines fenêtres et la pose d'un survitrage, permettent, en zone urbaine dense destinée à l'habitation et exposée au BGE 145 II 189 S. 199 bruit, d'éviter la réalisation d'une devanture borgne au droit d'une artère routière fréquentée (cf. ATF 142 II 100 consid. 4.6 p. 110 s.). Dans ces conditions, on ne discerne guère quelles autres mesures ou disposition des pièces auraient permis de limiter encore les nuisances liées à l'implantation urbaine du projet. Le recourant n'expose du reste pas sérieusement quelles autres configurations auraient été envisageables. Il parle certes de déplacer les locaux d'exploitation en façade sud. Cependant, dans le cadre de la réalisation de logements, on ne discerne guère, faute d'explications, ce qu'englobe cette notion. Il est par ailleurs erroné de prétendre que le déplacement des salles de bains de la façade est en direction du sud, de manière à éloigner la fenêtre des chambres de 10.5 m 2 de la rue de Genève, aura pour effet d'en réduire l'exposition au bruit: de jour, les VLI sont respectées tant au niveau desdites chambres que des salles de bains; de nuit, ces valeurs sont dépassées aussi bien à la hauteur des salles de bains que des chambres de 10.5 m 2 , de sorte que la rocade suggérée n'entraînera pas d'amélioration et nécessitera toujours, à l'instar de la configuration autorisée, la réalisation de mesures complémentaires (cf. plan des niveaux d'exposition de la façade est).</w:t>
      </w:r>
    </w:p>
    <w:p>
      <w:r>
        <w:rPr>
          <w:b/>
        </w:rPr>
        <w:t>E. 8.4</w:t>
      </w:r>
    </w:p>
    <w:p>
      <w:r>
        <w:t>Par conséquent, au regard non seulement de l'agencement des logements prévus, mais également du contexte urbain dans lequel s'inscrit le projet ainsi que des objectifs d'aménagement du territoire poursuivis, la pesée des intérêts circonstanciée à laquelle a procédé l'instance précédente apparaît conforme à l' art. 31 al. 2 OPB . Le grief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