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145 III 49</w:t>
      </w:r>
    </w:p>
    <w:p>
      <w:r>
        <w:t>Bundesgericht (BGE), 2018-10-26, FR</w:t>
      </w:r>
    </w:p>
    <w:p>
      <w:r>
        <w:rPr>
          <w:b/>
        </w:rPr>
        <w:t xml:space="preserve">Quelle: </w:t>
      </w:r>
      <w:r>
        <w:t>https://mcp.opencaselaw.ch/entscheid/bge_BGE_145_III_49</w:t>
      </w:r>
    </w:p>
    <w:p>
      <w:r>
        <w:t>FR: ATF 145 III 49</w:t>
      </w:r>
    </w:p>
    <w:p>
      <w:r>
        <w:t>IT: DTF 145 III 49</w:t>
      </w:r>
    </w:p>
    <w:p>
      <w:pPr>
        <w:pStyle w:val="Heading2"/>
      </w:pPr>
      <w:r>
        <w:t>Regeste</w:t>
      </w:r>
    </w:p>
    <w:p>
      <w:r>
        <w:t>Regeste Art. 30 Abs. 1 ZGB; Namensänderung. Begriff der "achtenswerten Gründe" als Voraussetzung zur Bewilligung einer Namensänderung im Sinne von Art. 30 Abs. 1 ZGB (E. 3); Spezialfall der Offizialisierung eines seit vielen Jahren verwendeten Namens (E. 4).</w:t>
      </w:r>
    </w:p>
    <w:p>
      <w:r>
        <w:t>Regeste Art. 30 al. 1 CC; changement de nom. Notion de "motifs légitimes" fondant l'autorisation d'un changement de nom au sens de l'art. 30 al. 1 CC (consid. 3); cas particulier de l'officialisation d'un nom d'usage porté depuis de nombreuses années (consid. 4).</w:t>
      </w:r>
    </w:p>
    <w:p>
      <w:r>
        <w:t>Regesto Art. 30 cpv. 1 CC; cambiamento del nome. Nozione di "motivi degni di rispetto" alla base dell'autorizzazione ad un cambiamento del nome ai sensi dell'art. 30 cpv. 1 CC (consid. 3); caso particolare dell'ufficializzazione di un nome d'uso portato da numerosi anni (consid. 4).</w:t>
      </w:r>
    </w:p>
    <w:p>
      <w:pPr>
        <w:pStyle w:val="Heading2"/>
      </w:pPr>
      <w:r>
        <w:t>Erwägungen</w:t>
      </w:r>
    </w:p>
    <w:p>
      <w:r>
        <w:rPr>
          <w:b/>
        </w:rPr>
        <w:t>E. 3.1</w:t>
      </w:r>
    </w:p>
    <w:p>
      <w:r>
        <w:t>En principe, le nom d'une personne est immuable ( ATF 140 III 577 consid. 3.2; ATF 136 III 161 consid. 3.1; arrêt 5A_730/2017 du 22 janvier 2018 consid. 3.1). Dans certaines constellations propres au droit de la famille (cf. art. 270 al. 2, art. 270a al. 2, art. 8a Tit. fin. CC ), la loi autorise le changement de nom de façon inconditionnelle (ch. I de la loi fédérale du 30 septembre 2011 [nom et droit de cité], en vigueur depuis le 1 er janvier 2013; RO 2012 2569). S'il existe des motifs légitimes (achtenswerte Gründe, motivi degni di rispetto), le gouvernement du canton de domicile peut également autoriser une personne à changer de nom ( art. 30 al. 1 CC , dans sa version en vigueur depuis le 1 er janvier 2013). Le point de savoir s'il existe, dans un cas individuel, des "motifs légitimes" en vue du changement de BGE 145 III 49 S. 51 nom relève du pouvoir d'appréciation, que l'autorité compétente doit exercer selon les règles du droit et de l'équité ( art. 4 CC ; ATF 140 III 577 consid. 3.2).</w:t>
      </w:r>
    </w:p>
    <w:p>
      <w:r>
        <w:rPr>
          <w:b/>
        </w:rPr>
        <w:t>E. 3.2</w:t>
      </w:r>
    </w:p>
    <w:p>
      <w:r>
        <w:t>Jusqu'à l'entrée en vigueur de l' art. 30 al. 1 CC dans sa nouvelle teneur et l'introduction de la notion de "motifs légitimes", une personne désirant changer de nom devait faire la démonstration que de "justes motifs" fondaient sa requête, à savoir, outre l'existence de motifs liés au nom lui-même, celle de motifs entraînant des désavantages sociaux concrets et sérieux (cf. de manière générale ATF 136 III 161 consid. 3.1.1; également MEIER/DE LUZE, Droit des personnes, 2014, n. 289 ss; STEINAUER/FOUNTOULAKIS, Droit des personnes physiques et de la protection de l'adulte, 2014, n. 411 ss). La jurisprudence était particulièrement restrictive à cet égard, ne tenant compte que des motifs objectifs invoqués par le requérant (notamment: arrêts 5C.163/2002 du 1 er octobre 2002 consid. 2.1, in FamPra.ch 2003 p. 114; 5C.2/1993 du 14 avril 1993 consid. 3, in REC 61/1993 p. 298 s.; cf. également HAUSHEER/AEBI-MÜLLER, Das Personenrecht des Schweizerischen Zivilgesetzbuches, 4 e éd. 2016, n. 16.38; GRAF-GEISER, Das neue Namens- und Bürgerrecht, FamPra.ch 2013 p. 251 ss, 282). La modification de l' art. 30 al. 1 CC fait suite aux débats parlementaires en lien avec l'initiative parlementaire 03.428 (Leutenegger Oberholzer), laquelle visait à assurer l'égalité entre époux en matière de nom et de droit de cité. La distinction entre les "motifs légitimes" de la nouvelle disposition et les "justes motifs" de l'ancienne n'a pas fait l'objet de discussions particulières au Parlement (BO 2011 CE 479; BO 2011 CN 1757; BO 2011 CN 1760). Les débats parlementaires démontrent néanmoins que la condition des "motifs légitimes" visait à diminuer les obstacles au changement de nom, sans pour autant ouvrir la possibilité à quiconque de modifier son nom à sa guise (cf. ATF 140 III 577 consid. 3.3.3 et les références). La modification législative et l'assouplissement qu'elle supposait étaient toutefois essentiellement évoqués en lien avec un changement d'état civil ou des enfants issus de familles recomposées plutôt qu'avec une procédure ordinaire de changement de nom (cf. notamment: BO 2011 CN 1757 "mieux prendre en considération les situations personnelles et familiales complexes que l'on rencontre dans notre société actuelle"; BO 2011 CN 1760 "damit können vor allem Patchwork-Familien erleichtert wieder zu einem gemeinsamen Namen kommen"). La seule jurisprudence publiée aux ATF depuis la BGE 145 III 49 S. 52 modification législative concerne d'ailleurs le changement de nom d'un enfant autorisé à porter le nom du détenteur de l'autorité parentale après le divorce de ses parents ( ATF 140 III 577 ). Aucun élément ne permet toutefois de restreindre l'assouplissement législatif à un changement d'état civil, voire à un changement de nom réclamé par un enfant en référence à une situation familiale particulière. Selon la jurisprudence, qui suit en cela la doctrine dans sa majorité, la notion de "motifs légitimes" doit ainsi être appréciée de manière plus souple que celle de "justes motifs", sans se limiter aux domaines sus-évoqués (arrêt 5A_730/2017 du 22 janvier 2018 consid. 3.2; AEBI-MÜLLER, Das neue Familiennamensrecht - eine erste Übersicht, RSJ 2012 p. 449, 457; STEINAUER/FOUNTOULAKIS, op. cit., n. 411, note infrapaginale 48; BÜHLER, in Basler Kommentar, Zivilgesetzbuch, vol. I, 5 e éd. 2014, n° 5 ad art. 30 CC ; HAUSHEER/AEBI-MÜLLER, op. cit., n. 16.39; MEIER/DE LUZE, op. cit., n. 288; GUILLOD, Droit des personnes, 5 e éd. 2018, n. 54). La requête doit cependant toujours faire état de motifs particuliers (MEIER/DE LUZE, op. cit., n. 292), lesquels ne peuvent être illicites, abusifs ou contraires aux moeurs (arrêt 5A_730/2017 précité consid. 3.2; GEISER, Das neue Namensrecht und die Kindes- und Erwachsenenschutzbehörde, RMA 2012 p. 353 ss, n. 3.31; BÜHLER, op. cit., ibid.; GRAF-GEISER, op. cit., p. 283); le nom lui-même doit de surcroît être conforme au droit et ne pas porter atteinte au nom d'un tiers (GEISER, op. cit., n. 3.38). La composante subjective ou émotionnelle de la motivation du requérant ne peut en revanche être écartée comme par le passé, pour autant toutefois que les raisons invoquées atteignent une certaine gravité et ne soient pas purement futiles (arrêt 5A_730/2017 précité consid. 3.2 et les références de jurisprudence cantonale citées; HAUSHEER/AEBI-MÜLLER, op. cit., ibid.; MEIER/DE LUZE, op. cit., n. 292; BÜHLER, op. cit., n os</w:t>
      </w:r>
    </w:p>
    <w:p>
      <w:r>
        <w:rPr>
          <w:b/>
        </w:rPr>
        <w:t>E. 3.3</w:t>
      </w:r>
    </w:p>
    <w:p>
      <w:r>
        <w:t>Lorsque le juge cantonal dispose d'un pouvoir d'appréciation, le Tribunal fédéral ne revoit en principe qu'avec réserve sa décision prise en équité. Il intervient lorsque celle-ci s'écarte sans raison des règles établies par la jurisprudence en matière de libre appréciation, ou lorsqu'elle s'appuie sur des faits qui, dans le cas particulier, ne devaient jouer aucun rôle, ou à l'inverse, lorsqu'elle n'a pas tenu compte d'éléments qui auraient absolument dû être pris en considération; il sanctionnera en outre les décisions rendues en vertu d'un pouvoir d'appréciation lorsqu'elles aboutissent à un résultat manifestement injuste ou à une inéquité choquante ( ATF 135 III 121 consid. 2; ATF 133 III 201 consid. 5.4). 4. 4.1 Dans son arrêt de renvoi du 22 janvier 2018, la Cour de céans avait admis le grief du recourant relatif à l'établissement arbitraire des faits en tant que le Tribunal cantonal n'avait pas examiné différentes pièces (administratives ou judiciaires pour l'essentiel) produites par l'intéressé et susceptibles d'établir l'éventuelle importance du changement de nom qu'il réclamait dans sa vie sociale et économique. 4.2 Statuant sur renvoi, la cour cantonale a admis que les documents transmis par le recourant démontraient que celui-ci était connu depuis de nombreuses années sous le nom de A. B. (avec ou sans trait d'union), tant par les autorités françaises et suisses que par des tiers. Cette circonstance n'était cependant pas déterminante. Si le droit français permettait certes l'utilisation du nom de ses deux parents, ce nom d'usage n'était pas reconnu à l'état civil, ni transmissible. Se fonder sur les arguments de la durée du port du nom et du souhait personnel de le conserver ne pouvait ainsi constituer un motif légitime. En droit suisse, le nom d'usage n'était pas connu de la législation, en sorte que le recourant ne pouvait y trouver un motif légitimant son désir de porter celui qu'il avait adopté de son propre gré. BGE 145 III 49 S. 54 La cour cantonale a par ailleurs relevé que la divergence entre la réalité administrative, privée, personnelle, sociale et professionnelle du recourant et son nom inscrit au registre d'état civil lui était entièrement imputable, si bien qu'il ne pouvait s'en prévaloir. Quant à l'importance objective du patronyme adopté dans sa vie économique, elle n'était pas démontrée: si le patronyme de B. était favorablement connu sur les marchés immobiliers, l'intéressé n'établissait pas avoir subi un préjudice au cours des six dernières années, période durant laquelle il n'avait été qu'au bénéfice exclusif du patronyme A., tel qu'inscrit sur sa carte d'identité et dans le registre fédéral Infostar; l'acte de notoriété du 13 mai 1981 attestait au demeurant qu'il n'était pas exclusivement connu dans son milieu professionnel sous le nom de A.-B. Les juges cantonaux ont également considéré que les pièces déposées par le recourant ne permettaient pas de conclure qu'il serait particulièrement lésé par son nom, ni qu'il disposerait d'un intérêt spécifique à conserver le nom sous lequel il était connu. Aucun motif en relation avec le nom lui-même n'était enfin à relever. 4.3 Actif dans l'immobilier, le recourant soutient pour l'essentiel être connu depuis quarante ans et ce sans discontinuité sous le nom de A. B.: ses amis, connaissances et relations professionnelles, de même que les autorités administratives suisses et françaises, la République française, et notamment le Ministère de l'intérieur, s'adresseraient à lui sous ce nom, de sorte qu'il disposerait d'un motif légitime à réclamer le changement de nom sollicité. Le recourant affirme également avoir un intérêt d'ordre moral et affectif à la modification qu'il réclame. Il indique à cet égard souffrir quotidiennement de la différence entre son état civil suisse - A. - et le nom sous lequel il est connu de tous - A. B. -, divergence nécessitant une justification constante et entraînant une perte de crédibilité à son égard. Le patronyme B. le rattacherait du reste à la famille de son grand-père maternel, célèbre architecte, constructeur et propriétaire immobilier, dont il avait reçu un métier, des immeubles connus comme étant les "immeubles B." ainsi qu'un nom commercial constituant depuis des dizaines d'années une véritable marque. 4.4 Ainsi que le relève à juste titre l'autorité cantonale, le recourant a lui-même pris l'initiative, de longue date, d'accoler le nom de sa mère à son nom légal, décidant de se présenter et de se faire appeler sous ce double patronyme, qu'il s'était personnellement choisi. S'il est certes lui-même à l'origine des inconvénients qu'il prétend subir actuellement, il n'en demeure pas moins que sa démarche ne BGE 145 III 49 S. 55 paraît pas procéder d'une simple "lubie" que la révision législative de 2011 ne permettrait pas de concrétiser. Bien que les motifs subjectifs qu'il invoque (principalement le rattachement à un ancêtre illustre) ne paraissent pas d'une intensité suffisante pour retenir une violation du pouvoir d'appréciation de l'autorité cantonale et fonder le changement sollicité, les différentes pièces qu'il a produites (pour l'essentiel: contrats, actes judiciaires et administratifs, carte d'assurance-maladie établie au nom de A.-B., carte d'identité française reproduisant ce nom d'usage) démontrent qu'il est manifestement connu de l'administration ainsi que de son entourage privé et professionnel sous le nom de A. B. et ce depuis plusieurs dizaines d'années; elles attestent ainsi l'importance objective que revêt depuis longtemps le nom qu'il souhaite officialiser dans sa vie sociale, professionnelle et administrative. Or en exigeant que l'intéressé soit "spécialement lésé" par son nom officiel actuel, la cour cantonale s'est référée à un critère qui n'est plus déterminant au regard de l'assouplissement législatif entré en vigueur en 2013 et a ainsi violé le pouvoir d'appréciation qui lui était conféré. La présente situation revêt, il est vrai, un caractère singulier du fait que le recourant sollicite de pouvoir porter un double nom. Quoique relativement rares, les doubles noms existent en Suisse (cf. pour des exemples: GEISER, op. cit., n. 3.41). Cette particularité doit être distinguée de la possibilité pour l'époux(se) de porter un double nom légal, désormais supprimée avec l'entrée en vigueur de la législation susmentionnée. Cette modification législative était cependant liée à l'égalité de traitement entre l'homme et la femme lors du choix du nom des époux au moment de la conclusion de l'union (DE LUZE/DE LUIGI, Le nouveau droit du nom, PJA 2013 p. 505 ss, 508 et les références), circonstance distincte de celle prévalant en l'espèce. Cette question est au demeurant toujours discutée dès lors que, le 15 décembre 2017, le conseiller national Luzi Stamm a déposé une initiative parlementaire visant à autoriser le double nom en cas de mariage (initiative no 17.523). L'on notera certes que, par sa requête, le recourant sollicite l'attribution d'un double nom composé du patronyme de chacun de ses parents. Il s'agit toutefois ici de faire coïncider son identité officielle avec son identité administrative, sociale et professionnelle. Sa situation diffère dès lors de celle de l'enfant auquel l'on refuse la possibilité de porter le double nom de son père et de sa mère et pour lequel ce simple souhait ne répond pas à un motif légitime dans le sens interprété ci-dessus ( ATF 119 II 307 consid. 4).</w:t>
      </w:r>
    </w:p>
    <w:p>
      <w:r>
        <w:rPr>
          <w:b/>
        </w:rPr>
        <w:t>E. 5</w:t>
      </w:r>
    </w:p>
    <w:p>
      <w:r>
        <w:t>et 9 ad art. 30 CC ; cf. également GEISER, op. cit., n. 3.31 s.; BÜCHLER, in ZGB, Kommentar, Schweizerisches Zivilgesetzbuch, 3 e éd. 2016, n° 3 ad art. 30 CC ; plus restrictifs: STEINAUER/FOUNTOULAKIS, op. cit., n. 411). Le nom ne doit en effet pas perdre sa fonction identificatrice et il ne s'agit pas de contourner le principe de son immutabilité, qui reste en vigueur malgré la modification législative. L'officialisation d'un pseudonyme peut ainsi constituer un motif légitime de changement de nom lorsque les conditions pour qu'il figure sur le passeport à titre de complément officiel (cf. art. 2 al. 4 de la loi fédérale du 22 juin 2001 sur les documents d'identité des BGE 145 III 49 S. 53 ressortissants suisses [LDI; RS 143.1]) seraient remplies, le requérant devant alors démontrer que son nom d'artiste a une importance objective dans sa vie économique et sociale (à l'aide par exemple de contrats d'artiste, d'articles de presse, d'affiches, de documents sur l'activité artistique, etc.; arrêt 5A_730/2017 précité consid. 3.2; GEISER, op. cit., n. 3.33; restrictifs: STEINAUER/FOUNTOULAKIS, op. cit., n. 414d, qui se réfèrent cependant à la doctrine et la jurisprudence de l'ancien droit). Un examen attentif des circonstances concrètes reste dans tous les cas nécessaire ( ATF 140 III 577 consid. 3.3.4).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