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383</w:t>
      </w:r>
    </w:p>
    <w:p>
      <w:r>
        <w:t>Bundesgericht (BGE), 1980-04-11, DE</w:t>
      </w:r>
    </w:p>
    <w:p>
      <w:r>
        <w:rPr>
          <w:b/>
        </w:rPr>
        <w:t xml:space="preserve">Quelle: </w:t>
      </w:r>
      <w:r>
        <w:t>https://mcp.opencaselaw.ch/entscheid/bge_BGE_145_III_383</w:t>
      </w:r>
    </w:p>
    <w:p>
      <w:r>
        <w:t>FR: ATF 145 III 383</w:t>
      </w:r>
    </w:p>
    <w:p>
      <w:r>
        <w:t>IT: DTF 145 III 383</w:t>
      </w:r>
    </w:p>
    <w:p>
      <w:pPr>
        <w:pStyle w:val="Heading2"/>
      </w:pPr>
      <w:r>
        <w:t>Regeste</w:t>
      </w:r>
    </w:p>
    <w:p>
      <w:r>
        <w:t>Regeste Art. 24 Abs. 1 Ziff. 4 OR und Art. 4 Bst. a des Übereinkommens der Vereinten Nationen vom 11. April 1980 über Verträge über den internationalen Warenkauf (CISG); Berufung auf Grundlagenirrtum bei Anwendbarkeit des CISG? Das CISG enthält abschliessende Rechtsbehelfe für den Fall der mangelhaften Kaufsache, weshalb - im Gegensatz zur Rechtslage nach innerstaatlichem Recht - die alternative Berufung auf Grundlagenirrtum im Sinne von Art. 24 Abs. 1 Ziff. 4 OR bei Anwendbarkeit des CISG ausgeschlossen ist (E. 5).</w:t>
      </w:r>
    </w:p>
    <w:p>
      <w:r>
        <w:t>Regeste Art. 24 al. 1 ch. 4 CO et art. 4 let. a de la Convention des Nations Unies du 11 avril 1980 sur les contrats de vente internationale de marchandises (CVIM); invocation de l'erreur essentielle dans l'application de la CVIM? Parce que la CVIM, à la différence du droit interne, prévoit de manière exhaustive les moyens juridiques disponibles en cas de défaut de la chose vendue, l'erreur essentielle selon l'art. 4 al. 1 ch. 4 CO ne peut pas être invoquée optionnellement dans l'application de cette convention (consid. 5).</w:t>
      </w:r>
    </w:p>
    <w:p>
      <w:r>
        <w:t>Regesto Art. 24 cpv. 1 n. 4 CO e art. 4 lett. a della Convenzione delle Nazioni Unite dell'11 aprile 1980 sui contratti di compravendita internazionale di merci (CVIM); invocazione di un errore essenziale se la CVIM è applicabile? La CVIM contiene rimedi esaustivi per il caso in cui la cosa venduta sia difettosa, ragione per cui - a differenza del diritto interno - l'invocazione alternativa di un errore essenziale nel senso dell'art. 24 cpv. 1 n. 4 CO è esclusa quando tale convenzione è applicabile (consid. 5).</w:t>
      </w:r>
    </w:p>
    <w:p>
      <w:pPr>
        <w:pStyle w:val="Heading2"/>
      </w:pPr>
      <w:r>
        <w:t>Erwägungen</w:t>
      </w:r>
    </w:p>
    <w:p>
      <w:r>
        <w:rPr>
          <w:b/>
        </w:rPr>
        <w:t>E. 5</w:t>
      </w:r>
    </w:p>
    <w:p>
      <w:r>
        <w:t>Gemäss Art. 4 Bst. a CISG betrifft dieses Übereinkommen - soweit nicht ausdrücklich etwas anderes bestimmt ist - insbesondere nicht die Gültigkeit des Vertrages oder einzelner Vertragsbestimmungen. Die Beschwerdeführerin rügt, indem die Vorinstanz ihr die Berufung auf Grundlagenirrtum im Sinne von Art. 24 Abs. 1 Ziff. 4 OR verwehrte, habe sie Art. 4 lit. a CISG verletzt. BGE 145 III 383 S. 385</w:t>
      </w:r>
    </w:p>
    <w:p>
      <w:r>
        <w:rPr>
          <w:b/>
        </w:rPr>
        <w:t>E. 5.1</w:t>
      </w:r>
    </w:p>
    <w:p>
      <w:r>
        <w:t>Nach herrschender Lehre, der die Vorinstanz folgte, können dem CISG unterstehende Kaufverträge nicht durch Rückgriff auf internes Recht aufgrund Irrtums über Eigenschaften der Kaufsache angefochten werden (ANNE FLORENCE BOCK, Gewinnherausgabeansprüche gemäss CISG, in: Büchler/Müller-Chen [Hrsg.], FS Schwenzer, Band I, 2011, S. 184; BUCHER, a.a.O., S. 48; MILENA DJORDJEVIC, in: Kröll und andere [Hrsg.], a.a.O., N. 21 f. zu Art. 4 CISG ; ECKERT/MAIFELD/ MATTHIESSEN, Handbuch des Kaufrechts, 2. Aufl. 2014, Rz. 969; FERRARI, in: Schlechtriem/Schwenzer [Hrsg.], a.a.O., N. 22-24 zu Art. 4 CISG ; VINCENT HEUZÉ, La vente internationale de marchandises: droit uniforme, 2. Aufl. 2000, S. 248 f. Rz. 286; HEINRICH HONSELL, in: Basler Kommentar, Obligationenrecht, 6. Aufl. 2015, N. 14 der Vorbemerkungen zu Art. 197-210 OR ; HUGUENIN, a.a.O., Rz. 2737; MAGNUS, a.a.O., N. 48 und 50 zu Art. 4 CISG ; MANKOWSKI, a.a.O., N. 10 zu Art. 4 CISG ; MURMANN/STUCKI, a.a.O., N. 10 zu Art. 4 CISG ; SAENGER, a.a.O., N. 24 zu Art. 4 CISG ; SCHLECHTRIEM/BUTLER, a.a.O., S. 35 Rz. 36a; SCHLECHTRIEM/WITZ, a.a.O., S. 42 Rz. 56; INGEBORG SCHWENZER, Schweizerisches Obligationenrecht Allgemeiner Teil, 7. Aufl. 2016, Rz. 39.43; SCHWENZER/HACHEM, a.a.O., N. 19 zu Art. 4 CISG ; SIEHR, a.a.O., N. 9 zu Art. 4 CISG ; TERCIER/BIERI/CARRON, Les contrats spéciaux, 5. Aufl. 2016, Rz. 1388; SCHWENZER/FOUNTOULAKIS/DIMSEY, a.a.O., S. 646; a.A. NEUMAYER/MING, a.a.O., N. 6 zu Art. 4 CISG ; FRANZ BYDLINSKI, Das allgemeine Vertragsrecht, in: Doralt [Hrsg.], Das UNCITRAL-Kaufrecht im Vergleich zum österreichischen Recht, 1985, S. 58; RUDOLF LESSIAK, UNCITRAL-Kaufrechtsabkommen und Irrtumsanfechtung, in: Juristische Blätter 1989, S. 490).</w:t>
      </w:r>
    </w:p>
    <w:p>
      <w:r>
        <w:rPr>
          <w:b/>
        </w:rPr>
        <w:t>E. 5.2</w:t>
      </w:r>
    </w:p>
    <w:p>
      <w:r>
        <w:t>Die Beschwerdeführerin wendet sich gegen diesen Rechtsstandpunkt und macht geltend, eine einheitliche Rechtsanwendung lasse sich nur in jenen Bereichen verwirklichen, in denen die Vertragsstaaten diese auch wollten. Bei der Ausarbeitung des CISG sei indes ein Vorstoss ausdrücklich abgelehnt worden, der die Berufung des Käufers auf Irrtum ausgeschlossen hätte (so auch NEUMAYER/MING, a.a.O., N. 6 zu Art. 4 CISG ). Diese Behauptung der Beschwerdeführerin gestützt auf NEUMAYER/MING greift in zweifacher Hinsicht zu kurz. Einerseits handelte es sich um einen gesamten Normenkomplex zur Vertragsgültigkeit, der schliesslich nicht in das Übereinkommen integriert wurde (vgl. Commission des Nations Unies pour le droit commercial international, Annuaire 1978, vol. IX, S. 75 ff.). Andererseits war in der mit den BGE 145 III 383 S. 386 anderen Bestimmungen zur Vertragsgültigkeit verworfenen Norm, auf die sich die Beschwerdeführerin beruft, nicht vorgesehen, einen Rückgriff auf den Irrtum grundsätzlich zu verbieten, sondern die Anfechtung des Grundlagenirrtums bezüglich Eigenschaften der Kaufsache soweit zuzulassen, als keine anderweitigen Anspruchsgrundlagen bestehen. Während ein Teil der Lehre die Ansicht vertrat, es sei wünschenswert, unvereinheitlichtes Recht zur Gültigkeitsanfechtung wegen Willensmängeln parallel zuzulassen, ging der andere Teil davon aus, eine Regelung sei entbehrlich, da die Priorität der Mängelrügen in Fällen der mangelhaften Kaufsache vor der Gültigkeitsanfechtung zufolge Irrtums derart klar sei, dass sich eine ausdrückliche Normierung erübrige (vgl. Commission des Nations Unies, a.a.O., S. 77 zu "Article 9"). Diese divergierenden Standpunkte sind wohl auf die unterschiedlichen Rechtskulturen zurückzuführen, die auch verhinderten, innert nützlicher Zeit einen Konsens zur Vereinheitlichung der Gültigkeitsvorschriften zu finden, weshalb das Projekt der Integration gewisser Vorschriften zur Vertragsgültigkeit offenbar schliesslich fallen gelassen wurde. Aus der Entstehungsgeschichte der CISG-Vorschriften über Sachmängel ergibt sich damit entgegen dem Standpunkt der Beschwerdeführerin kein eindeutiges Bild (so im Ergebnis auch MAGNUS, a.a.O., N. 50 zu Art. 4 CISG mit Hinweisen).</w:t>
      </w:r>
    </w:p>
    <w:p>
      <w:r>
        <w:rPr>
          <w:b/>
        </w:rPr>
        <w:t>E. 5.3</w:t>
      </w:r>
    </w:p>
    <w:p>
      <w:r>
        <w:t>Der Vorbehalt zugunsten internen Rechts nach Art. 4 CISG gilt nur, wenn das Übereinkommen die Angelegenheit nicht ausdrücklich selbst regelt. Der Begriff "ausdrücklich" ("expressly", "disposition expresse") bedeutet in diesem Zusammenhang nicht etwa, dass das Übereinkommen allfällige Abweichungen jeweils als solche bezeichnen muss, sondern es reicht, wenn es für einen Sachverhalt eine abschliessende Regelung bereithält (MAGNUS, a.a.O., N. 27; SCHLECHTRIEM/BUTLER, a.a.O., S. 34 Rz. 36). Vor diesem Hintergrund ist durch eine Interpretation der Normen des CISG nach der erfassten Regelungsmaterie zu fragen (SCHLECHTRIEM/SCHROETER, a.a.O., S. 61 Rz. 116). Entscheidend ist, ob eine Sachfrage von den Verfassern des Übereinkommens gesehen und mit einer zumindest "funktional äquivalenten" Lösung geregelt wurde (vgl. bereits Secretariat Commentary, a.a.O., zweite Bemerkung zu Art. 4 CISG ; vgl. auch BOCK, a.a.O., S. 184; FERRARI, in: Schlechtriem/Schwenzer [Hrsg.], a.a.O., N. 22 f. zu Art. 6 CISG ). Dass das Übereinkommen innerhalb seines ermittelten Regelungsbereichs konkurrierende Bestimmungen des internen BGE 145 III 383 S. 387 Rechts verdrängt, setzt dabei zusätzlich voraus, dass es für die jeweilige Sachfrage exklusiven Geltungsanspruch erhebt. Dies ist fast durchwegs der Fall (vgl. Urteile 4C.307/2003 vom 19. Februar 2004 E. 3.2.2; 4C.105/2000 vom 15. September 2000 E. 2a; Cour de cassation N 02-15981 vom 4. Oktober 2005, in: CISG-online 1097; SCHLECHTRIEM/SCHROETER, a.a.O., S. 68 Rz. 131).</w:t>
      </w:r>
    </w:p>
    <w:p>
      <w:r>
        <w:rPr>
          <w:b/>
        </w:rPr>
        <w:t>E. 5.3.1</w:t>
      </w:r>
    </w:p>
    <w:p>
      <w:r>
        <w:t>Die rechtliche Behandlung von Willensmängeln und deren Folgen wird grundsätzlich vom CISG nicht geregelt und richtet sich daher soweit nach dem vom internationalen Privatrecht berufenen Recht, als das CISG nicht bezüglich bestimmter Aspekte eine "funktional äquivalente" Regelung bereithält (vgl. MAGNUS, a.a.O., N. 27 f., 50 zu Art. 4 CISG ; PILTZ, a.a.O., Rz. 2-135 f., 2-148; SCHLECHTRIEM/SCHROETER, a.a.O., S. 84 Rz. 169). So enthält das Übereinkommen insbesondere keine Bestimmungen zu Willensmängeln, die auf Erklärungshandlungen oder schuldhafter Irreführung beruhen, namentlich Drohung oder Täuschung (UNCITRAL, a.a.O., S. 24 Rz. 3 zu Art. 4 CISG ; DJORDJEVIC, a.a.O. N. 23 zu Art. 4 CISG ; jeweils mit Hinweisen auf die Rechtsprechung; vgl. auch FERRARI, in: Schlechtriem/Schwenzer [Hrsg.], a.a.O., N. 25 zu Art. 4 CISG ; MAGNUS, a.a.O., N. 52 zu Art. 4 CISG ; SAENGER, a.a.O., N. 24 zu Art. 4 CISG ; SCHLECHTRIEM/ SCHROETER, a.a.O., S. 84 f. Rz. 170; SCHWENZER/HACHEM, a.a.O., N. 19 zu Art. 4 CISG ). Dagegen enthält das CISG mit seinen Normierungen betreffend die vertragliche Beschaffenheit der Kaufsache, welche auch den Kenntnisstand des Käufers berücksichtigen, eine dem Grundlagenirrtum ( Art. 24 Abs. 1 Ziff. 4 OR ) funktional äquivalente Regelung (vgl. dazu DJORDJEVIC, a.a.O., N. 22 zu Art. 4 CISG ; MURMANN/STUCKI, a.a.O., N. 10 zu Art. 4 CISG ; SAENGER, a.a.O., N. 24 zu Art. 4 CISG ; SCHLECHTRIEM/ SCHROETER, a.a.O., S. 85 Rz. 171; SCHLECHTRIEM/WITZ, a.a.O., S. 42 Rz. 56; SCHWENZER/HACHEM, a.a.O., N. 19 zu Art. 4 CISG ; SCHWENZER/FOUNTOULAKIS/DIMSEY, a.a.O., S. 646). Namentlich ist bereits dem Marginale des Abschnitts II ( Art. 35 ff. CISG ) zu entnehmen, dass das Übereinkommen verschiedene Bestimmungen zur "Vertragsmässigkeit der Ware" bereit hält, wobei eine Haftung des Verkäufers insbesondere ausgeschlossen wird, wenn der Käufer bei Vertragsabschluss die Vertragswidrigkeit der Ware kannte oder darüber nicht in Unkenntnis sein konnte ( Art. 35 Abs. 3 CISG ). Abschnitt III ( Art. 45 ff. CISG ) statuiert sodann die Rechte des Käufers im Falle der Vertragsverletzung durch den Verkäufer; in Bezug auf eine nicht BGE 145 III 383 S. 388 vertragsgemässe oder unvollständige Lieferung ist die Aufhebung des gesamten Vertrags nur vorgesehen, wenn diese eine "wesentliche Vertragsverletzung" darstellt ( Art. 51 Abs. 2 CISG ). Da sich das Übereinkommen nach dem vorstehend Gesagten nicht zu Irrtümern äussert, die auf Erklärungshandlungen beruhen, um insoweit einen Rückgriff auf internes Recht zu ermöglichen, hingegen eine dem Grundlagenirrtum ( Art. 24 Abs. 1 Ziff. 4 OR ) funktional äquivalente Regelung enthält, kann die Beschwerdeführerin nichts zu ihren Gunsten aus der bisherigen Rechtsprechung zu Willensmängeln unter dem CISG ableiten, wonach die Berufung auf einen Erklärungsirrtum im Sinne von Art. 24 Abs. 1 Ziff. 1 OR auch bei grundsätzlicher Anwendbarkeit des CISG zulässig ist (vgl. Urteil 4C.296/2000 vom 22. Dezember 2000 E. 3).</w:t>
      </w:r>
    </w:p>
    <w:p>
      <w:r>
        <w:rPr>
          <w:b/>
        </w:rPr>
        <w:t>E. 5.3.2</w:t>
      </w:r>
    </w:p>
    <w:p>
      <w:r>
        <w:t>Sodann spricht nichts für die Annahme, dass das CISG ausnahmsweise keine exklusive Geltung beansprucht und betreffend den im Übereinkommen abschliessend geregelten Lebenssachverhalt der nicht vertragsgemässen Beschaffenheit einer gelieferten Sache parallel die Berufung auf innerstaatliche Rechtsbehelfe zulässt. Insbesondere ist kein zwingendes rechtspolitisches Bedürfnis erkennbar, das die konkurrierende Anfechtung nach innerstaatlichem Recht fordern würde (so auch MAGNUS, a.a.O., N. 50 zu Art. 4 CISG ). Demgegenüber sieht das CISG eine Vertragsaufhebung im Interesse der effizienten Streitbeilegung zu Recht nur als ultima ratio vor (vgl. OGH 3 Ob 194/15y vom 16. Dezember 2015 E. 1.1; MAGNUS, a.a.O., N. 49 zu Art. 7 CISG ; PILTZ, a.a.O., Rz. 2-144). Denn im für den internationalen Handel typischen Überseeverkehr ist die Vertragsaufhebung wegen der Notwendigkeit des Rücktransports der Ware bzw. der Einlagerung und anderweitigen Veräusserung für die Verkäuferin ausserordentlich belastend (HONSELL, a.a.O., N. 13 der Vorbemerkungen zu Art. 197-210 OR ). Ein Rückgriff am Übereinkommen vorbei auf Bestimmungen internen Rechts zur Anfechtung der Gültigkeit zufolge Irrtums betreffend Eigenschaften der Kaufsache würde diesen im CISG vorgenommenen Interessenausgleich stören und die angestrebte Vereinheitlichung der Anspruchsgrundlagen untergraben (vgl. dazu DJORDJEVIC, a.a.O., N. 22 zu Art. 4 CISG ; HEUZÉ, a.a.O., S. 248 RZ. 286; MANKOWSKI, a.a.O., N. 10 zu Art. 4 CISG ; SCHLECHTRIEM/ SCHROETER, a.a.O., S. 68 Rz. 131, S. 85 f. Rz. 171; SCHWENZER/ HACHEM, a.a.O., N. 19 zu Art. 4 CISG ). Deshalb ist BGE 145 III 383 S. 389 davon auszugehen, dass das CISG insoweit abschliessende und internes Recht ausschliessende Geltung beansprucht (so auch UNCITRAL, a.a.O., S. 24 Rz. 3 zu Art. 4 CISG ; BOCK, a.a.O., S. 184; BUCHER, a.a.O., S. 48; DJORDJEVIC, a.a.O., N. 22 zu Art. 4 CISG ; ECKERT/MAIFELD/MATTHIESSEN, a.a.O., Rz. 969; FERRARI, in: Schlechtriem/Schwenzer [Hrsg.], a.a.O., N. 24 zu Art. 4 CISG ;HEUZÉ, a.a.O., S. 248 f. RZ. 286; HONSELL, a.a.O., N. 14 der Vorbemerkungen zu Art. 197-210 OR ; MAGNUS, a.a.O., N. 48 zu Art. 4 CISG ; MANKOWSKI, a.a.O., N. 10 zu Art. 4 CISG ; MURMANN/STUCKI, a.a.O., N. 10 zu Art. 4 CISG ; SCHWENZER, a.a.O., Rz. 39.43; SCHWENZER/HACHEM, a.a.O., N. 19 zu Art. 4 CISG ; SCHWENZER/FOUNTOULAKIS/DIMSEY, a.a.O., S. 646; SIEHR, a.a.O., N. 9 zu Art. 4 CISG ).</w:t>
      </w:r>
    </w:p>
    <w:p>
      <w:r>
        <w:rPr>
          <w:b/>
        </w:rPr>
        <w:t>E. 5.3.3</w:t>
      </w:r>
    </w:p>
    <w:p>
      <w:r>
        <w:t>Entgegen dem, was den wenig differenzierten Ausführungen in der Botschaft vom 11. Januar 1989 betreffend das Wiener Übereinkommen über Verträge über den internationalen Warenkauf (BBl 1989 751 Ziff. 131, 754 Ziff. 143, 763 f. Ziff. 211.33) und der bisherigen bundesgerichtlichen Rechtsprechung (namentlich den Urteilen 4C.296/2000 vom 22. Dezember 2000 E. 3; 4C.272/2000 vom 11. Dezember 2000 E. 1a) allenfalls entnommen werden könnte, verbietet sich damit der Rückgriff auf interne Normen zur Gültigkeitsanfechtung, soweit es sich um Ansprüche im Zusammenhang mit der vertraglichen Beschaffenheit des Kaufobjekts handelt. Daran ändert auch nichts, dass es der Käuferin nach ständiger bundesgerichtlicher Rechtsprechung möglich ist, sich alternativ zu den kaufrechtlichen Gewährleistungsansprüchen ( Art. 197 ff. OR ) auf Grundlagenirrtum ( Art. 24 Abs. 1 Ziff. 4 OR ) zu berufen (vgl. BGE 127 III 83 E. 1b; BGE 114 II 131 E. 1). Denn insoweit die Beschwerdeführerin aus der Rechtsprechung zum OR einen Widerspruch abzuleiten versucht, übergeht sie, dass das Übereinkommen nach Art. 7 Abs. 1 CISG autonom auszulegen ist, womit nationalrechtliche dogmatische Kategorien und Terminologien untauglich sind (SCHLECHTRIEM/SCHROETER, a.a.O., S. 61 f. Rz. 117 f.; PILTZ, a.a.O., Rz. 2-141). Die anzustrebende weltweit einheitliche Anwendung setzt ein rechtsvergleichendes Vorgehen sowie die Bereitschaft voraus, einer bestimmten Auslegung, die sich in einer dominierenden Anzahl von Staaten etabliert hat, gegenüber seiner eigenen Anschauung den Vorzug zu geben (BBl 1989 I 766 Ziff. 212.1; zum Ganzen auch vorstehend E. 2.2). Aus diesem Grund ist auch der von der Beschwerdeführerin erwähnte BGE 145 III 383 S. 390 Entscheid des Obersten Gerichtshofs Österreichs zur Alternativität der Rechtsbehelfe nicht einschlägig, zumal er ebenfalls zum unvereinheitlichten österreichischen Recht erging (OGH 9 Ob 247/02t vom 23. April 2003). Sodann mag zutreffen, dass die von der Vorinstanz zitierten Entscheide aus Ländern stammen, welche die Alternativität der Rechtsbehelfe auch unter innerstaatlichem Recht nicht zulassen (vgl. die Urteile des Handelsgerichts Hasselt vom 19. April 2006, in: CISG-online Nr. 1389 und des Landgerichts Aachen vom 14. Mai 1993, in: CISG-online Nr. 86; vgl. indessen den aktuellen Entscheid OGH 3 Ob 194/15y vom 16. Dezember 2015 aus Österreich, bei dem die Aufhebung des Vertrages eines sich als beschädigt herausgestellten Kunstwerks nur unter Art. 49 CISG Prozessthema war). Ebenso auffällig ist indessen, dass der Rechtsstandpunkt der Beschwerdeführerin nahezu ausschliesslich von Autoren vertreten wird, deren Rechtsprechung zum unvereinheitlichten Recht - wie etwa die österreichische oder schweizerische Praxis - das Nebeneinander vom kaufrechtlichen Gewährleistungsrecht und Vertragsanfechtung wegen Irrtum zulässt (so auch FERRARI, in: Schlechtriem/Schwenzer, a.a.O., N. 23 zu Art. 4 CISG Fn. 122). Hinzu kommt, dass es sich hierbei soweit ersichtlich einzig um ältere Lehrmeinungen handelt (vgl. NEUMAYER/MING [Schweiz, 1993], a.a.O., N. 6 zu Art. 4 CISG ; LESSIAK [Österreich, 1989], a.a.O., S. 490; BYDLINSKI [Österreich, 1985], a.a.O., S. 58; vgl. allerdings auch JOSEPH LOOKOFSKY, Understanding the CISG, 4. Aufl. 2012, S. 22 Fn. 80 mit dem einzigen Hinweis auf einen älteren Entscheid des Handelsgerichts des Kantons St. Gallen vom 24. August 1995). Demgegenüber vertritt nicht nur die herrschende internationale Lehre, sondern vermehrt auch die schweizerische den Ansatz der exklusiven Anwendung des CISG, soweit es um Ansprüche im Zusammenhang mit der vertraglichen Beschaffenheit der Kaufsache geht. Entgegen der Ansicht der Beschwerdeführerin gehören dazu nicht nur die Autoren, welche die bundesgerichtliche Praxis zur Alternativität der Rechtsbehelfe kritisieren (so zwar HONSELL, a.a.O., N. 9, 14 der Vorbemerkungen zu Art. 197-210 OR ; SCHWENZER, a.a.O., N. 39.41 und 39.43; TERCIER/BIERI/CARRON, Les contrats spéciaux, 5. Aufl. 2016, Rz. 649, 1388), sondern auch solche, die bei einem Binnensachverhalt die Vertragsanfechtung aufgrund Irrtums über Sachmängel befürworten (so BUCHER, a.a.O., S. 48; HUGUENIN, a.a.O., Rz. 2703 und 2737). BGE 145 III 383 S. 391</w:t>
      </w:r>
    </w:p>
    <w:p>
      <w:r>
        <w:rPr>
          <w:b/>
        </w:rPr>
        <w:t>E. 5.4</w:t>
      </w:r>
    </w:p>
    <w:p>
      <w:r>
        <w:t>Es ist unerheblich, ob ein nationales unvereinheitlichtes Recht im Vergleich zum CISG für die konkret gegebene Situation einen anderen Ansatz entwickelt hat oder abweichende, gar angemessenere Lösungen anbietet. Entscheidend ist allein, dass ein dem CISG unterliegender Kaufvertrag vorliegt, dessen Rechtsbehelfe den zu beurteilenden Sachverhalt abschliessend regeln (vgl. PILTZ, a.a.O., Rz. 2-135 f., 2-148). Damit ist es der Beschwerdeführerin verwehrt, den Vertrag an der Konvention vorbei zufolge Grundlagenirrtums ( Art. 24 Abs. 1 Ziff. 4 OR ) als einseitig unverbindlich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