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w:t>
      </w:r>
    </w:p>
    <w:p>
      <w:r>
        <w:t>Bundesgericht (BGE), 2018-11-06, DE</w:t>
      </w:r>
    </w:p>
    <w:p>
      <w:r>
        <w:rPr>
          <w:b/>
        </w:rPr>
        <w:t xml:space="preserve">Quelle: </w:t>
      </w:r>
      <w:r>
        <w:t>https://mcp.opencaselaw.ch/entscheid/bge_BGE_145_III_1</w:t>
      </w:r>
    </w:p>
    <w:p>
      <w:r>
        <w:t>FR: ATF 145 III 1</w:t>
      </w:r>
    </w:p>
    <w:p>
      <w:r>
        <w:t>IT: DTF 145 III 1</w:t>
      </w:r>
    </w:p>
    <w:p>
      <w:pPr>
        <w:pStyle w:val="Heading2"/>
      </w:pPr>
      <w:r>
        <w:t>Regeste</w:t>
      </w:r>
    </w:p>
    <w:p>
      <w:r>
        <w:t>Regeste Art. 527 Ziff. 1 ZGB; Herabsetzung; gemischte Schenkung; Beweis des Schenkungswillens. Die Herabsetzung einer gemischten Schenkung setzt insbesondere voraus, dass der Erblasser das Missverhältnis zwischen Leistung und Gegenleistung zur Zeit des Vertragsabschlusses tatsächlich erkannt hat. Beweislast für den Schenkungswillen des Erblassers (E. 3 und 4).</w:t>
      </w:r>
    </w:p>
    <w:p>
      <w:r>
        <w:t>Regeste Art. 527 ch. 1 CC; réduction; donation mixte; preuve de la volonté de donner. La réduction d'une donation mixte suppose en particulier que le disposant ait effectivement reconnu la disproportion entre prestation et contre-prestation lors de la conclusion du contrat. Fardeau de la preuve de la volonté de donner du disposant (consid. 3 et 4).</w:t>
      </w:r>
    </w:p>
    <w:p>
      <w:r>
        <w:t>Regesto Art. 527 n. 1 CC; riduzione; donazione mista; prova dell'intenzione di procedere ad una donazione. La riduzione di una donazione mista presuppone in particolare che il disponente abbia effettivamente riconosciuto la sproporzione tra prestazione e controprestazione al momento della conclusione del contratto. Onere della prova dell'intenzione del disponente di procedere ad una donazione (consid. 3 e 4).</w:t>
      </w:r>
    </w:p>
    <w:p>
      <w:pPr>
        <w:pStyle w:val="Heading2"/>
      </w:pPr>
      <w:r>
        <w:t>Erwägungen</w:t>
      </w:r>
    </w:p>
    <w:p>
      <w:r>
        <w:rPr>
          <w:b/>
        </w:rPr>
        <w:t>E. 3.1</w:t>
      </w:r>
    </w:p>
    <w:p>
      <w:r>
        <w:t>Gemäss Art. 527 Ziff. 1 ZGB sind jene Zuwendungen herabzusetzen, die ihrer Natur nach gemäss Art. 626 Abs. 2 ZGB der BGE 145 III 1 S. 4 Ausgleichung unterständen, ihr aber durch eine Verfügung des Erblassers entzogen worden sind. Ausgleichung bzw. Herabsetzung setzt in objektiver Hinsicht voraus, dass eine unentgeltliche Zuwendung vorliegt, und in subjektiver Hinsicht, dass der Erblasser einen Zuwendungswillen (animus donandi) hat. Die Parteien müssen z.B. bei einer gemischten Schenkung eine unentgeltliche Zuwendung in dem Sinn beabsichtigen, als sie den Preis bewusst unter dem wahren Wert des Kaufgegenstandes ansetzen, um die Differenz dem Käufer unentgeltlich zukommen zu lassen ( BGE 126 III 171 E. 3a S. 173; vgl. zuletzt: Urteil 5A_789/2016 vom 9. Oktober 2018 E. 5.2).</w:t>
      </w:r>
    </w:p>
    <w:p>
      <w:r>
        <w:rPr>
          <w:b/>
        </w:rPr>
        <w:t>E. 3.2</w:t>
      </w:r>
    </w:p>
    <w:p>
      <w:r>
        <w:t>Naturgemäss kann der Schenkungswille nur entstehen, wenn der Wertunterschied bzw. das Missverhältnis zwischen Leistung und Gegenleistung den Parteien im Zeitpunkt des Vertragsabschlusses bekannt ist. Gleichwohl hat sich die Frage gestellt, ob bei einem Geschäft mit einem Nachkommen ein grobes Missverhältnis der Leistungen allenfalls für die Annahme einer unentgeltlichen Zuwendung genügen könnte, auch wenn es beim Geschäftsabschluss nicht erkannt wurde. Das Bundesgericht hat die lange offengelassene Frage verneint und dabei zu bedenken gegeben, dass ein Erblasser einem Erben nicht einen Vermögensvorteil als Heiratsgut, Ausstattung usw. zuwenden kann, wenn ihm nicht einmal bewusst ist, dass er sich damit entreichert und den Erben bereichert, das heisst, wenn er das Geschäft nicht als ein (zum mindesten teilweise) unentgeltliches erkennt. Denn nur mit diesem Bewusstsein hat er subjektiv überhaupt die Möglichkeit, den Erlass der Ausgleichungspflicht zu verfügen. Eine Zuwendung im Sinne von Art. 626 Abs. 2 bzw. Art. 527 Ziff. 1 ZGB liegt daher nur vor, wenn zur Zeit des Vertragsabschlusses das Missverhältnis zwischen Leistung und Gegenleistung dem Erblasser nicht bloss erkennbar gewesen, sondern von ihm auch tatsächlich erkannt worden ist ( BGE 98 II 352 E. 3b S. 357 ff.). Obwohl es die Frage später nochmals aufgegriffen hat ( BGE 126 III 171 E. 3b/cc S. 175 f.), ist das Bundesgericht in seiner Praxis dabei geblieben, dass allein entscheidend ist, ob der Erblasser den Nachkommen begünstigen wollte und ob er diese Begünstigung erkannt hat (Urteil 5A_629/2015 vom 27. März 2017 E. 8, vorab E. 8.2.1; z.B. Urteil 5A_802/2014 vom 7. November 2014 E. 2 und 4.3, in: Praxis 104/2015 Nr. 57 S. 452; ebenso im Güterrecht: Urteil 5A_662/2009 vom 21. Dezember 2009 E. 2.3, in: FamPra.ch 2010 S. 424).</w:t>
      </w:r>
    </w:p>
    <w:p>
      <w:r>
        <w:rPr>
          <w:b/>
        </w:rPr>
        <w:t>E. 3.3</w:t>
      </w:r>
    </w:p>
    <w:p>
      <w:r>
        <w:t>Es liegt in der Natur der Sache, dass das, was der Erblasser gewusst, was er gewollt hat, als innere Tatsache einem direkten Beweis nicht zugänglich ist, sondern sich direkt nur durch Parteiausage, BGE 145 III 1 S. 5 im Übrigen aber lediglich durch Folgerungen aus dem äusseren Verhalten einer Person oder anhand der Umstände beweisen lässt ( BGE 140 III 193 E. 2.2.1 S. 197). Die Folgen der Beweislosigkeit trägt, wer dabei aus der Erfüllung des Herabsetzungstatbestandes Rechte ableitet ( Art. 8 ZGB ).</w:t>
      </w:r>
    </w:p>
    <w:p>
      <w:r>
        <w:rPr>
          <w:b/>
        </w:rPr>
        <w:t>E. 4.1</w:t>
      </w:r>
    </w:p>
    <w:p>
      <w:r>
        <w:t>Soweit die kantonalen Gerichte allein gestützt auf blosse Erkennbarkeit eines Missverhältnisses zwischen Leistung und Gegenleistung das Bestehen eines Schenkungswillens auf Seiten des Erblassers angenommen haben, kann ihnen im Lichte der bundesgerichtlichen Praxis (E. 3.2 oben) nicht gefolgt werden. Ergänzend hat das Kantonsgericht auf den Abtretungsvertrag zwischen dem Erblasser und dem Beklagten 1 abgestellt. Diesen Vertrag halten auch der Beklagte 1 in seiner Beschwerdeschrift und die Klägerinnen in ihrer Beschwerdeantwort zu Recht für entscheidend. Denn Ausgangspunkt bleibt das konkrete Rechtsgeschäft zwischen Erblasser und Erben. Das Bundesgericht hat deshalb den unbestrittenen Wortlaut des Abtretungsvertrags von 1990 im Sachverhalt ergänzt (Bst. B.a oben).</w:t>
      </w:r>
    </w:p>
    <w:p>
      <w:r>
        <w:rPr>
          <w:b/>
        </w:rPr>
        <w:t>E. 4.2</w:t>
      </w:r>
    </w:p>
    <w:p>
      <w:r>
        <w:t>Gewicht messen die Parteien und das Kantonsgericht dem Umstand bei, dass der Abtretungsvertrag - wie auch die spätere Begründung des Wohnrechts von demselben Notar - beurkundet wurde. Es ist in der Tat davon auszugehen, dass der beurkundende Notar, dessen Erfahrenheit und Sachkunde von keiner Partei in keinem Zeitpunkt jemals in Frage gestellt wurde, die Rechtslage genau gekannt und die Vertragsparteien pflichtgemäss darüber aufgeklärt hat (Urteil 5A_530/2012 vom 30. Oktober 2012 E. 3.2.1, in: ZBGR 95/2014 S. 264). Die massgebende Rechtslage hat 1990 wie heute darin bestanden, dass die Bestellung einer Nutzniessung, eines Wohnrechts oder eines Vorkaufsrechts an der Liegenschaft, die der Erblasser zu seinen Lebzeiten einem Erben überträgt, als dessen Gegenleistung für die Eigentumsübertragung zu betrachten ist und eine den Verkehrswert der übernommenen Liegenschaft mindernde Belastung bedeutet ( BGE 54 II 93 S. 97 [Wohnrecht], 100 S. 105/106 [Wohnrecht]; 84 II 338 E. 3 S. 345 [limitiertes Vorkaufsrecht] und E. 4 S. 346 [Wohnrecht und Nutzniessung]; 116 II 667 E. 3b/cc S. 675 [Nutzniessung, gemäss Bst. A.c S. 669 indes Wohnrecht]; 120 II 417 E. 4a S. 421 [Nutzniessung]).</w:t>
      </w:r>
    </w:p>
    <w:p>
      <w:r>
        <w:rPr>
          <w:b/>
        </w:rPr>
        <w:t>E. 4.3</w:t>
      </w:r>
    </w:p>
    <w:p>
      <w:r>
        <w:t>Dass sich die Vertragsparteien der Rechtslage bewusst waren, lässt der Vertragstext schliessen. Die Parteien vereinbarten nicht bloss BGE 145 III 1 S. 6 eine Nutzniessung zugunsten des abtretenden Erblassers als Alleineigentümer der Liegenschaft, sondern auch - wie später das Wohnrecht - zugunsten der Ehefrau des Erblassers. Weiter haben sie ein (limitiertes) Vorkaufsrecht für sämtliche Geschwister des Übernehmers vorgesehen. Die Frage nach der Bewertung der beidseitigen Leistungen zur Zeit des Vertragsabschlusses drängte sich dabei geradezu auf (für einen ähnlichen Fall: BGE 84 II 338 ). In diesem Sinne erklärten die Parteien sogar die Verzinsung der Grundpfandschulden durch die Nutzniesser als Entgelt für die Einräumung der Nutzniessung, obwohl diese Verpflichtung sich für den Nutzniesser bereits aus dem Gesetz ergibt ( Art. 765 Abs. 1 ZGB ) und insoweit keine vertragliche Gegenleistung für die Nutzniessung bedeutet. In der Bestimmung des Anrechnungswertes haben die Parteien sodann erkannt und festgelegt, dass der übernehmende Erbe im Betrag von Fr. 90'000.- bereichert würde und deshalb an Miterben eine entsprechende Zahlung zu leisten habe, die er tatsächlich geleistet hat. Gerade mit Blick auf diese bewusste vertragliche Regelung in allen Einzelheiten mutet es seltsam an, dem Erblasser gleichsam "ex post" einen weitergehenden Schenkungswillen (im Umfang von 54 % eines gutachterlich ermittelten Verkehrswertes) zu unterstellen, ohne dass das Vorliegen einer Simulation jemals behauptet, geschweige denn von den Klägerinnen bewiesen worden wäre (für einen ähnlichen Fall: BGE 131 III 49 E. 4.1.1 S. 55).</w:t>
      </w:r>
    </w:p>
    <w:p>
      <w:r>
        <w:rPr>
          <w:b/>
        </w:rPr>
        <w:t>E. 4.4</w:t>
      </w:r>
    </w:p>
    <w:p>
      <w:r>
        <w:t>Dem Abtretungsvertrag lässt sich entnehmen, dass die Liegenschaft mit Grundpfandrechten im ersten bis dritten Rang belastet war und der Beklagte 1 auf Anrechnung die Hypothekarschulden von Fr. 310'000.- übernommen hat. Das Kantonsgericht und die Klägerinnen schliessen daraus, dass dem Erblasser klar sein musste, der Anrechnungswert sei mit Blick auf die hypothekarische Belastung zu niedrig festgesetzt und die Differenz deshalb unentgeltlich zugewendet. Angesprochen ist damit der sog. Belehnungswert, der bereits damals zwischen 2/3 (I. Hypothek) und 80 % (II. Hypothek) des Verkehrswertes betragen hat (vgl. EMCH/RENZ/BÖSCH, Das Schweizerische Bankgeschäft, 4. Aufl. 1993, S. 347, und 3. Aufl. 1984, S. 313 f.). Der Verkehrswert hätte somit zwischen Fr. 465'000.- (I. Hypothek) und Fr. 387'500.- (II. Hypothek) gelegen, so dass der Erblasser in guten Treuen die Übertragung auf den Erben als durch den vereinbarten Anrechnungswert von Fr. 400'000.- gedeckt erachten durfte und sich insoweit keiner unentgeltlichen Zuwendung bewusst sein musste (vgl. BGE 98 II 352 E. 3b S. 358). BGE 145 III 1 S. 7</w:t>
      </w:r>
    </w:p>
    <w:p>
      <w:r>
        <w:rPr>
          <w:b/>
        </w:rPr>
        <w:t>E. 4.5</w:t>
      </w:r>
    </w:p>
    <w:p>
      <w:r>
        <w:t>Welche Aufschlüsse der Steuerwert der Liegenschaft von Fr. 233'900.- im Jahr 1977, auf den das Kantonsgericht und die Klägerinnen weiter abstellen wollen, dem Erblasser hätte vermitteln müssen, bleibt im Dunkeln, zumal dieser Betrag aus dem Abtretungsvertrag von 1990 nicht hervorgeht und deshalb dem Erblasser genauso wenig als bekannt unterstellt werden darf wie das genaue Verhältnis des Steuerwertes zum Verkehrswert. Entgegen der Darstellung der Klägerinnen hat das Kantonsgericht an der zitierten Stelle auch nicht dem Erblasser angelastet, den Steuerwert aus dem Jahre 1977 kennen zu müssen, sondern dem Beklagten 1.</w:t>
      </w:r>
    </w:p>
    <w:p>
      <w:r>
        <w:rPr>
          <w:b/>
        </w:rPr>
        <w:t>E. 4.6</w:t>
      </w:r>
    </w:p>
    <w:p>
      <w:r>
        <w:t>Weiter steht fest, dass der Erblasser bis zur Übertragung der Liegenschaft im Jahre 1990 eine umfassende Sanierung ausführte und einen grossen Anbau errichtete. Aus den verwiesenen Stellen des Gerichtsgutachtens geht nicht hervor, ob und in welchem Umfang sich die Sanierung oder der Anbau wertsteigernd auf den Verkehrswert der Liegenschaft tatsächlich ausgewirkt hätten. Es ist damit nicht dargetan, dass der Erblasser im Zeitpunkt des Vertragsabschlusses von einem anderen als dem im Bereich von Fr. 387'500.- bis Fr. 465'000.- angenommenen Verkehrswert (E. 4.4. oben) tatsächlich ausgegangen ist.</w:t>
      </w:r>
    </w:p>
    <w:p>
      <w:r>
        <w:rPr>
          <w:b/>
        </w:rPr>
        <w:t>E. 4.7</w:t>
      </w:r>
    </w:p>
    <w:p>
      <w:r>
        <w:t>Insgesamt kann unter Willkürgesichtspunkten ein tatsächlicher Schenkungswille in dem von den Klägerinnen behaupteten Betrag weder aus dem äusseren Verhalten des Erblassers gefolgert noch anhand der Umstände als bewiesen betrachtet werden. Die gegenteilige Indizienbeweiswürdigung des Kantonsgerichts erweist sich als willkürlich ( Art. 9 BV ; vgl. zum Begriff: BGE 140 III 264 E. 2.3 S. 266). Dass ein Schenkungswille des Erblassers im Zeitpunkt der Ablösung der Nutzniessung durch das Wohnrecht bestanden habe, wird von den Klägerinnen nicht behauptet oder dargetan, geschweige denn vom Kantonsgericht aufgrund der Indizienlage festgestellt. Bleibt der Schenkungswille des Erblassers somit zum Nachteil der Klägerinnen (E. 3.3 oben) unbewiesen, ist deren Herabsetzungsbegehren gegen den Beklagten 1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