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72</w:t>
      </w:r>
    </w:p>
    <w:p>
      <w:r>
        <w:t>Bundesgericht (BGE), 2018-03-07, FR</w:t>
      </w:r>
    </w:p>
    <w:p>
      <w:r>
        <w:rPr>
          <w:b/>
        </w:rPr>
        <w:t xml:space="preserve">Quelle: </w:t>
      </w:r>
      <w:r>
        <w:t>https://mcp.opencaselaw.ch/entscheid/bge_BGE_144_V_72</w:t>
      </w:r>
    </w:p>
    <w:p>
      <w:r>
        <w:t>FR: ATF 144 V 72</w:t>
      </w:r>
    </w:p>
    <w:p>
      <w:r>
        <w:t>IT: DTF 144 V 72</w:t>
      </w:r>
    </w:p>
    <w:p>
      <w:pPr>
        <w:pStyle w:val="Heading2"/>
      </w:pPr>
      <w:r>
        <w:t>Regeste</w:t>
      </w:r>
    </w:p>
    <w:p>
      <w:r>
        <w:t>Regeste Art. 26 Abs. 1 BVG; Grundsatz der Einheitlichkeit des Invaliditätsbegriffs bei Teilzeitbeschäftigung. Der von den Organen der Invalidenversicherung ermittelte Invaliditätsgrad ist für die Vorsorgeeinrichtung nur insoweit verbindlich, als er den erwerblichen Teil betrifft (E. 4.2 und 4.3). Im Gegensatz zur Unfallversicherung besteht bei der beruflichen Vorsorge kein Raum für die Berücksichtigung eines hypothetischen Einkommens auf Grundlage einer Schätzung der Verdienstmöglichkeiten einer versicherten Person, von der angenommen wird, dass sie sie voll ausnützt (Bestätigung der Rechtsprechung; E. 5.3.3 und 5.3.4).</w:t>
      </w:r>
    </w:p>
    <w:p>
      <w:r>
        <w:t>Regeste Art. 26 al. 1 LPP; principe de l'uniformité de la notion d'invalidité en cas d'activité lucrative exercée à temps partiel. Le degré d'invalidité fixé par les organes de l'assurance-invalidité est contraignant pour l'institution de prévoyance seulement en tant qu'il concerne l'activité lucrative (consid. 4.2 et 4.3). Contrairement à ce qui vaut dans l'assurance-accidents, il n'y a pas lieu de prendre en considération dans la prévoyance professionnelle un revenu hypothétique fondé sur une estimation des possibilités de gain d'un assuré censé les utiliser pleinement (confirmation de jurisprudence; consid. 5.3.3 et 5.3.4).</w:t>
      </w:r>
    </w:p>
    <w:p>
      <w:r>
        <w:t>Regesto Art. 26 cpv. 1 LPP; principio dell'applicazione uniforme della nozione d'invalidità in caso di attività lucrativa esercitata a tempo parziale. Il grado d'invalidità stabilito dagli organi dell'assicurazione per l'invalidità è vincolante per l'istituto di previdenza solo per quanto attiene all'attività lucrativa (consid. 4.2 e 4.3). Contrariamente a quanto previsto nell'assicurazione contro gli infortuni, nella previdenza professionale non si prende in considerazione il reddito ipotetico calcolato sulle presunte possibilità di guadagno di un assicurato che si suppone utilizzarle pienamente (conferma della giurisprudenza; consid. 5.3.3 e 5.3.4).</w:t>
      </w:r>
    </w:p>
    <w:p>
      <w:pPr>
        <w:pStyle w:val="Heading2"/>
      </w:pPr>
      <w:r>
        <w:t>Erwägungen</w:t>
      </w:r>
    </w:p>
    <w:p>
      <w:r>
        <w:rPr>
          <w:b/>
        </w:rPr>
        <w:t>E. 2</w:t>
      </w:r>
    </w:p>
    <w:p>
      <w:r>
        <w:t>Le litige porte sur le droit de A. à une rente d'invalidité de la prévoyance professionnelle dès le 2 avril 2015, à charge de l'institution de prévoyance intimée, singulièrement sur le point de savoir si la recourante a droit à un quart de rente, comme l'a jugé la juridiction cantonale, ou à trois quarts de rente.</w:t>
      </w:r>
    </w:p>
    <w:p>
      <w:r>
        <w:rPr>
          <w:b/>
        </w:rPr>
        <w:t>E. 3.1</w:t>
      </w:r>
    </w:p>
    <w:p>
      <w:r>
        <w:t>La juridiction cantonale a tout d'abord considéré que si une institution de prévoyance reprend la définition de l'invalidité de l'assurance-invalidité dans son règlement de prévoyance, comme c'est le cas en l'espèce, elle est en principe liée par l'évaluation de l'invalidité à laquelle a procédé l'office AI. En présence d'une assurée exerçant une activité professionnelle à temps partiel, elle a retenu que le degré d'invalidité devait cependant être déterminé non pas en fonction d'un plein temps, mais du taux d'occupation effectif au moment de la survenance de l'incapacité de travail déterminante dans le domaine de la prévoyance professionnelle. Ainsi, les premiers juges ont fixé le revenu sans invalidité de A. à 51'480 fr., soit 60 % du revenu sans invalidité pris en compte par l'office AI (85'800 fr.). Le revenu d'invalide devait en revanche être fixé par référence à celui arrêté par l'office AI, soit 27'780 fr. pour une activité adaptée aux limitations fonctionnelles de la recourante. Après comparaison des revenus avec et sans invalidité, le degré d'invalidité s'élevait à 46 %, taux ouvrant le droit, conformément au règlement de prévoyance, à un quart de rente d'invalidité de la prévoyance professionnelle. Selon les premiers juges, cette manière de procéder était conforme à la jurisprudence du Tribunal fédéral (arrêt 9C_403/2015 du 23 septembre 2015).</w:t>
      </w:r>
    </w:p>
    <w:p>
      <w:r>
        <w:rPr>
          <w:b/>
        </w:rPr>
        <w:t>E. 3.2</w:t>
      </w:r>
    </w:p>
    <w:p>
      <w:r>
        <w:t>Invoquant une violation du droit fédéral et de l'art. 13 al. 1 du règlement de prévoyance, selon lequel ont droit à une rente d'invalide les assurés qui sont invalides à raison de 40 % au moins au sens de l'AI, la recourante fait tout d'abord valoir que l'institution de prévoyance était liée par l'évaluation de son invalidité opérée par l'office AI et devait donc lui servir trois quarts de rente de la prévoyance professionnelle. Elle soutient que la juridiction cantonale a ensuite retenu de manière arbitraire qu'elle aurait travaillé à un taux d'occupation de 60 % sans atteinte à la santé. A cet égard, elle rappelle tout d'abord que l'office AI a pris en compte une activité lucrative exercée à plein temps lors de l'évaluation de son invalidité (méthode générale), puis affirme qu'elle aurait effectivement continué à travailler BGE 144 V 72 S. 75 à 100 % sans atteinte à la santé auprès de la Banque C. Conformément à la pratique suivie en matière d'assurance-accidents, sa rente d'invalidité de la prévoyance professionnelle devait par conséquent être évaluée sur la base d'un plein temps. L'arrêt 9C_403/2015 auquel se réfère la juridiction cantonale, à supposer qu'il soit applicable au cas d'espèce, ce que la recourante conteste, serait par ailleurs critiqué en doctrine à plusieurs égards.</w:t>
      </w:r>
    </w:p>
    <w:p>
      <w:r>
        <w:rPr>
          <w:b/>
        </w:rPr>
        <w:t>E. 3.3</w:t>
      </w:r>
    </w:p>
    <w:p>
      <w:r>
        <w:t>Dans sa réponse, l'intimée soutient que l'autorité précédente a, en se fondant sur l'arrêt 9C_403/2015, correctement fixé le degré d'invalidité de la recourante sur la base du taux d'occupation (60 %) effectivement déployé. Ce taux d'occupation ressortait par ailleurs selon elle d'une opportunité professionnelle et d'un choix personnel de la recourante. Au reste, l'intimée affirme que l'arrêt cité par l'autorité précédente ne ferait que confirmer une jurisprudence constante.</w:t>
      </w:r>
    </w:p>
    <w:p>
      <w:r>
        <w:rPr>
          <w:b/>
        </w:rPr>
        <w:t>E. 4.1</w:t>
      </w:r>
    </w:p>
    <w:p>
      <w:r>
        <w:t>Conformément à l' art. 26 al. 1 LPP , les dispositions de la loi fédérale sur l'assurance-invalidité ( art. 29 LAI )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 ATF 138 V 409 consid. 3.1 p. 414; ATF 126 V 308 consid. 1 p. 311). En l'espèce, il n'est pas contesté ni contestable que l'art. 13 al. 1 du règlement de prévoyance de l'intimée, dans sa version en vigueur au 1 er janvier 2014, reprend explicitement la définition de l'invalidité de l'assurance-invalidité.</w:t>
      </w:r>
    </w:p>
    <w:p>
      <w:r>
        <w:rPr>
          <w:b/>
        </w:rPr>
        <w:t>E. 4.2</w:t>
      </w:r>
    </w:p>
    <w:p>
      <w:r>
        <w:t>Selon une jurisprudence constante, l'évaluation opérée par les organes compétents de l'assurance-invalidité ne lie pas l'institution de prévoyance lorsque l'assuré exerce son activité lucrative à temps partiel. Dans ce cas, le degré d'invalidité fixé par l'office AI est contraignant pour la prévoyance professionnelle uniquement pour ce qui concerne la partie lucrative. En effet, la prévoyance professionnelle obligatoire et étendue a pour but d'assurer seulement l'activité lucrative ( ATF 120 V 106 consid. 4b p. 109; voir aussi art. 331a CO ). Dans le cadre de la prévoyance professionnelle, le droit aux prestations est donné seulement s'il existe une couverture d'assurance lors de la survenance de l'incapacité de travail dont la cause est à BGE 144 V 72 S. 76 l'origine de l'invalidité. Le Tribunal fédéral s'est exprimé en ce sens à plusieurs reprises depuis l' ATF 120 V 106 (arrêts B 47/97 du 15 mars 1999 consid. 2, in PJA 1999 p. 872; 9C_161/2007 du 6 septembre 2007 consid. 2; 9C_634/2008 du 19 décembre 2008 consid. 5.1 et 5.1.1; 9C_821/2010 du 7 avril 2011 consid. 4.2 et 9C_342/2015 du 21 octobre 2015 consid. 3; voir ég. ATF 141 V 127 consid. 5.3.2 p. 134; ATF 136 V 390 consid. 4.2 p. 394).</w:t>
      </w:r>
    </w:p>
    <w:p>
      <w:r>
        <w:rPr>
          <w:b/>
        </w:rPr>
        <w:t>E. 4.3</w:t>
      </w:r>
    </w:p>
    <w:p>
      <w:r>
        <w:t>Le tribunal cantonal a correctement appliqué les principes développés ci-dessus et notamment la jurisprudence découlant de l'arrêt 9C_403/2015. Selon un principe général, qui s'applique dans l'assurance-invalidité mais aussi dans le cas d'espèce dans la prévoyance professionnelle (consid. 4.1 ci-dessus), il convient de comparer la capacité de gain avant la survenance de l'invalidité avec celle existant postérieurement à celle-ci ( art. 16 LPGA ; voir ATF 144 V 63 consid. 6.3.2 p. 71). En l'espèce, selon les constatations de l'autorité précédente, qui s'est fondée sur les décisions de l'office AI du 17 août 2015, le revenu sans invalidité de la recourante se montait à 85'800 fr. pour une activité à 100 % et à 51'480 fr. pour une activité à un taux d'occupation de 60 % en 2014. Il faut souligner que la prévoyance professionnelle n'a pas vocation à assurer la part qui n'est pas consacrée à une activité professionnelle, ce qui explique pourquoi, lors de l'évaluation du degré d'invalidité, on ne prend en considération que le taux d'activité effectivement exercé et non pas sa projection à plein temps (voir ci-après consid. 5.2 et 5.3). Le revenu après invalidité a été fixé à 27'780 fr. pour une activité adaptée exercée à 40 %. Après comparaison, on obtient un degré d'invalidité de 46 %.</w:t>
      </w:r>
    </w:p>
    <w:p>
      <w:r>
        <w:rPr>
          <w:b/>
        </w:rPr>
        <w:t>E. 5</w:t>
      </w:r>
    </w:p>
    <w:p>
      <w:r>
        <w:t>Les griefs formulés par la recourante contre le raisonnement suivi par la juridiction cantonale, selon lequel seule la part de l'activité lucrative effectivement exercée est assurée, ne sont pas fondés.</w:t>
      </w:r>
    </w:p>
    <w:p>
      <w:r>
        <w:rPr>
          <w:b/>
        </w:rPr>
        <w:t>E. 5.1</w:t>
      </w:r>
    </w:p>
    <w:p>
      <w:r>
        <w:t>En premier lieu, la recourante affirme que le cas d'espèce serait différent de celui qui a donné lieu à l'arrêt 9C_403/2015, au motif que son salaire avant invalidité a été fixé sur une base statistique et non pas sur la base de données concrètes (cause 9C_403/2015). Elle soutient que l'argumentation du Tribunal fédéral serait en outre principalement axée dans l'arrêt 9C_403/2015 sur la situation qui se crée lors d'une révision en cas de changement de statut. Or, les deux éléments mis en avant par la recourante ne sont pas de nature à distinguer les deux cas sur le point essentiel, à savoir que la prévoyance professionnelle n'assure que la partie consacrée à l'activité lucrative. BGE 144 V 72 S. 77 Ce principe trouve donc application dans le cas 9C_403/2015 comme dans le cas d'espèce.</w:t>
      </w:r>
    </w:p>
    <w:p>
      <w:r>
        <w:rPr>
          <w:b/>
        </w:rPr>
        <w:t>E. 5.2.1</w:t>
      </w:r>
    </w:p>
    <w:p>
      <w:r>
        <w:t>La recourante invoque ensuite l'application de la solution adoptée dans l'assurance-accidents pour évaluer l'invalidité des personnes travaillant à temps partiel, selon laquelle l'invalidité doit être calculée par rapport à un plein temps. Dans cette assurance, la question de savoir si la personne assurée travaillait à plein temps ou à temps partiel lors de la survenance de l'incapacité de travail ne joue aucun rôle, car la rente sera de toute façon calculée sur la base du salaire assuré ( art. 15 al. 2 LAA ; ATF 119 V 475 consid. 2b p. 481).</w:t>
      </w:r>
    </w:p>
    <w:p>
      <w:r>
        <w:rPr>
          <w:b/>
        </w:rPr>
        <w:t>E. 5.2.2</w:t>
      </w:r>
    </w:p>
    <w:p>
      <w:r>
        <w:t>Le Tribunal fédéral a déjà examiné ce grief et écarté la possibilité de se référer dans la prévoyance professionnelle à la méthode suivie dans l'assurance-accidents pour évaluer l'invalidité des personnes travaillant à temps partiel. Déjà dans l' ATF 120 V 106 consid. 4b p. 109, le Tribunal fédéral a jugé que l'assurance-accidents ne connaît que la méthode générale pour évaluer l'invalidité et non pas les autres méthodes spécifiques ou mixtes, ce qui explique pourquoi l'invalidité est calculée sur la base d'un plein temps dans l'assurance-accidents. Cette jurisprudence, soulignant les différences de modèles entre l'assurance-accidents et la prévoyance professionnelle, a été examinée et confirmée à plusieurs reprises (parmi d'autres, ATF 129 V 132 consid. 4.3.2 p. 142 et arrêt 9C_634/2008 consid. 5.1.1 précité).</w:t>
      </w:r>
    </w:p>
    <w:p>
      <w:r>
        <w:rPr>
          <w:b/>
        </w:rPr>
        <w:t>E. 5.3.1</w:t>
      </w:r>
    </w:p>
    <w:p>
      <w:r>
        <w:t>Les arguments développés par la recourante s'apparentent à une demande de changement de la jurisprudence constante du Tribunal fédéral. Pour ce faire, elle se réfère à des avis de doctrine, notamment à l'avis de KIESER, selon lequel la jurisprudence du Tribunal fédéral (notamment l'arrêt 9C_403/2015) désavantagerait les personnes invalides travaillant à temps partiel (UELI KIESER, Bestimmung des Invaliditätsgrads bei teilzeitlich tätigen Personen, die teilinvalid werden, in der beruflichen Vorsorge, Besprechung des Urteils 9C_403/2015 des Bundesgerichts, PJA 2016 p. 529 ss).</w:t>
      </w:r>
    </w:p>
    <w:p>
      <w:r>
        <w:rPr>
          <w:b/>
        </w:rPr>
        <w:t>E. 5.3.2</w:t>
      </w:r>
    </w:p>
    <w:p>
      <w:r>
        <w:t>Un changement de jurisprudence ne se justifie, en principe, que lorsque la nouvelle solution procède d'une meilleure compréhension de la ratio legis , repose sur des circonstances de fait modifiées ou répond à l'évolution des conceptions juridiques; sinon, la pratique en cours doit être maintenue. Un changement doit par conséquent reposer sur des motifs sérieux et objectifs qui, dans l'intérêt de la BGE 144 V 72 S. 78 sécurité du droit, doivent être d'autant plus importants que la pratique considérée comme erronée, ou désormais inadaptée aux circonstances, est ancienne ( ATF 142 V 112 consid. 4.4 p. 117 et les références). Ces conditions ne sont pas remplies en l'espèce.</w:t>
      </w:r>
    </w:p>
    <w:p>
      <w:r>
        <w:rPr>
          <w:b/>
        </w:rPr>
        <w:t>E. 5.3.3</w:t>
      </w:r>
    </w:p>
    <w:p>
      <w:r>
        <w:t>Les critiques de la jurisprudence fondées sur la nécessité de traiter de la même manière, d'une part, la prévoyance professionnelle et, d'autre part, l'assurance-accidents ne sont pas nouvelles. D'autres auteurs les avaient déjà formulées (voir, entre autres, MARKUS MOSER, Teilzeitarbeitsbedingte Anwendungsprobleme im Leistungsbereich der beruflichen Vorsorge, PJA 2001 p. 1185; UELI KIESER, Teilzeitanstellung mit nachfolgendem Eintritt einer teilweisen Invalidität. Anspruch auf eine Rente der beruflichen Vorsorge? Art. 23 BVG, PJA 1999 p. 872 ss; MARC HÜRZELER, in LPP et LFLP, Schneider/Geiser/Gächter [éd.], 2010, n° 10 ad art. 24 LPP ; le même , Invaliditätsproblematiken in der beruflichen Vorsorge, 2006, p. 172 n. 406, p. 204 n. 486 et p. 205 n. 489). Le Tribunal fédéral les a déjà discutées dans des arrêts subséquents, non seulement dans l'arrêt 9C_403/2015 consid. 5.2, mais aussi dans les arrêts 9C_634/2008 consid. 5.1.1 et 9C_821/2010 consid. 4.2 précités. Dans ce dernier arrêt, le Tribunal fédéral a par ailleurs explicitement nié la nécessité d'opérer un changement de jurisprudence.</w:t>
      </w:r>
    </w:p>
    <w:p>
      <w:r>
        <w:rPr>
          <w:b/>
        </w:rPr>
        <w:t>E. 5.3.4</w:t>
      </w:r>
    </w:p>
    <w:p>
      <w:r>
        <w:t>Aux considérations déjà exprimées ci-dessus, qui justifient le maintien de la jurisprudence du Tribunal fédéral, on peut ajouter que les personnes invalides travaillant à temps partiel ne sont pas non plus prétéritées lorsqu'elles exercent plusieurs activités lucratives parallèles. Le Tribunal fédéral a déjà eu l'occasion de préciser que lorsqu'une personne a plusieurs activités professionnelles mais est contrainte d'en abandonner une pour cause d'invalidité, la caisse de pensions de l'employeur avec lequel le rapport de travail est terminé doit s'acquitter de la rente d'invalidité calculée sur la base du taux d'occupation exercé, alors que les autres institutions de prévoyance ne sont pas tenues à prestations ( ATF 136 V 390 consid. 4.2 et 4.3 p. 394; ATF 129 V 132 consid. 4.3.3 p. 143). Dans ce cas, l'invalidité à charge de l'institution de prévoyance dont l'employé a arrêté l'activité lucrative se calcule sur la base de la totalité de l'activité exercée à temps partiel; l'assuré a donc droit à une rente entière s'il cesse entièrement son activité à temps partiel.</w:t>
      </w:r>
    </w:p>
    <w:p>
      <w:r>
        <w:rPr>
          <w:b/>
        </w:rPr>
        <w:t>E. 5.4</w:t>
      </w:r>
    </w:p>
    <w:p>
      <w:r>
        <w:t>Contrairement à ce que soutient la recourante, les motifs qui l'ont amenée à travailler à temps partiel ne sont pas déterminants pour le BGE 144 V 72 S. 79 sort du litige. En effet, comme exposé ci-dessus (consid. 4.2), la prévoyance professionnelle n'assure que la partie consacrée à l'activité lucrative (sur cette question, voir arrêts B 47/97 consid. 2 et 9C_821/2010 consid. 4.2 précités). Il n'est donc pas nécessaire d'examiner le grief de la recourante concernant le taux d'occupation qu'elle aurait eu si elle n'avait pas présenté d'atteinte à la santé.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