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427</w:t>
      </w:r>
    </w:p>
    <w:p>
      <w:r>
        <w:t>Bundesgericht (BGE), 2018-09-20, DE</w:t>
      </w:r>
    </w:p>
    <w:p>
      <w:r>
        <w:rPr>
          <w:b/>
        </w:rPr>
        <w:t xml:space="preserve">Quelle: </w:t>
      </w:r>
      <w:r>
        <w:t>https://mcp.opencaselaw.ch/entscheid/bge_BGE_144_V_427</w:t>
      </w:r>
    </w:p>
    <w:p>
      <w:r>
        <w:t>FR: ATF 144 V 427</w:t>
      </w:r>
    </w:p>
    <w:p>
      <w:r>
        <w:t>IT: DTF 144 V 427</w:t>
      </w:r>
    </w:p>
    <w:p>
      <w:pPr>
        <w:pStyle w:val="Heading2"/>
      </w:pPr>
      <w:r>
        <w:t>Regeste</w:t>
      </w:r>
    </w:p>
    <w:p>
      <w:r>
        <w:t>Regeste Art. 74 AVIV; Insolvenzentschädigung; Glaubhaftmachen der Lohnforderung. Zur Auszahlung der Insolvenzentschädigung genügt es nach Art. 74 AVIV, dass der Arbeitnehmer seine Lohnforderung glaubhaft macht. Die herabgesetzten Beweisanforderungen gelten jedoch nur für die Frage, ob und in welcher Höhe gegenüber dem insolventen Arbeitgeber eine Lohnforderung besteht; die übrigen Anspruchsvoraussetzungen, wie namentlich der Bestand eines Arbeitsverhältnisses mit Beschäftigung in der Schweiz oder der Eintritt eines Insolvenztatbestandes müssen demgegenüber mit dem Beweisgrad der überwiegenden Wahrscheinlichkeit erstellt sein (E. 3.3 und 4).</w:t>
      </w:r>
    </w:p>
    <w:p>
      <w:r>
        <w:t>Regeste Art. 74 OACI; indemnité en cas d'insolvabilité; vraisemblance des créances de salaire. Selon l'art. 74 OACI, il suffit, pour obtenir le paiement de l'indemnité en cas d'insolvabilité, que le travailleur rende plausible sa créance de salaire. Les exigences de preuve moins strictes ne valent cependant qu'en ce qui concerne le point de savoir si et dans quelle mesure il existe une créance de salaire contre l'employeur insolvable; en revanche, les autres conditions du droit à prestation, comme en particulier l'existence d'un rapport de travail portant sur une activité en Suisse ou la survenance d'un cas d'insolvabilité, doivent être établies au degré de la vraisemblance prépondérante (consid. 3.3 et 4).</w:t>
      </w:r>
    </w:p>
    <w:p>
      <w:r>
        <w:t>Regesto Art. 74 OADI; indennità per insolvenza; verosimiglianza del credito salariale. Per l'ottenimento del pagamento dell'indennità per insolvenza è sufficiente, conformemente all'art. 74 OADI, che il lavoratore renda verosimile il suo credito salariale. Le esigenze di prova meno rigorose valgono tuttavia solo per la questione di sapere se e in quale misura esiste un credito salariale nei confronti di un datore di lavoro insolvente; per contro, gli altri presupposti del diritto alla prestazione, in particolare l'esistenza di un rapporto di lavoro con occupazione in Svizzera o il verificarsi di un caso d'insolvenza, devono essere stabiliti secondo il grado della verosimiglianza preponderante (consid. 3.3 e 4).</w:t>
      </w:r>
    </w:p>
    <w:p>
      <w:pPr>
        <w:pStyle w:val="Heading2"/>
      </w:pPr>
      <w:r>
        <w:t>Erwägungen</w:t>
      </w:r>
    </w:p>
    <w:p>
      <w:r>
        <w:rPr>
          <w:b/>
        </w:rPr>
        <w:t>E. 2</w:t>
      </w:r>
    </w:p>
    <w:p>
      <w:r>
        <w:t>Streitig und zu prüfen ist, ob die Vorinstanz Bundesrecht verletzt hat, als sie einen Anspruch des Versicherten auf eine Insolvenzentschädigung bejahte. BGE 144 V 427 S. 429</w:t>
      </w:r>
    </w:p>
    <w:p>
      <w:r>
        <w:rPr>
          <w:b/>
        </w:rPr>
        <w:t>E. 3.1</w:t>
      </w:r>
    </w:p>
    <w:p>
      <w:r>
        <w:t>Beitragspflichtige Arbeitnehmer von Arbeitgebern, die in der Schweiz der Zwangsvollstreckung unterliegen oder in der Schweiz Arbeitnehmer beschäftigen, haben nach Art. 51 Abs. 1 lit. a AVIG (SR 837.0) Anspruch auf Insolvenzentschädigung, wenn gegen ihren Arbeitgeber der Konkurs eröffnet wird und ihnen in diesem Zeitpunkt Lohnforderungen zustehen. Die Insolvenzentschädigung ist eine Lohnausfallversicherung bei Zahlungsunfähigkeit des Arbeitgebers. Sie bezweckt für eine beschränkte Zeit den Schutz der Lohnguthaben sowie die Sicherung des Lebensunterhaltes des Arbeitnehmers und damit die Vermeidung sozialer Härten (vgl. THOMAS NUSSBAUMER, Arbeitslosenversicherung, in: Soziale Sicherheit, SBVR Bd. XIV, 3. Aufl. 2016, S. 2441 Rz. 585 mit weiteren Hinweisen).</w:t>
      </w:r>
    </w:p>
    <w:p>
      <w:r>
        <w:rPr>
          <w:b/>
        </w:rPr>
        <w:t>E. 3.2</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S. 221 f.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BGE 144 V 427 S. 430 Wahrscheinlichkeit für sich hat, der Wirklichkeit zu entsprechen ( BGE 138 V 218 E. 6 S. 222 mit Hinweisen).</w:t>
      </w:r>
    </w:p>
    <w:p>
      <w:r>
        <w:rPr>
          <w:b/>
        </w:rPr>
        <w:t>E. 3.3</w:t>
      </w:r>
    </w:p>
    <w:p>
      <w:r>
        <w:t>Die Kasse darf gemäss Art. 74 AVIV (SR 837.02) eine Insolvenzentschädigung nur ausrichten, wenn der Arbeitnehmer seine Lohnforderung glaubhaft macht. Mit dieser Bestimmung werden die Beweisanforderungen bezüglich der Lohnforderung herabgesetzt. Es braucht nicht im Sinne des Regelbeweismasses die Überzeugung der Verwaltung begründet zu werden, dass die Lohnforderung überwiegend wahrscheinlich besteht. Vielmehr genügt es, dass für den geltend gemachten rechtserheblichen Sachumstand wenigstens gewisse Anhaltspunkte vorhanden sind, auch wenn durchaus noch mit der Möglichkeit zu rechnen ist, bei eingehender Abklärung werde sich der behauptete Sachverhalt nicht erstellen lassen (vgl. zum Glaubhaftmachen im Rahmen von Art. 87 Abs. 1 IVV [SR 831.201]: SVR2003 IV Nr. 25 S. 76, I 238/02 E. 2.2). Diese herabgesetzten Beweisanforderungen gelten jedoch nur für die Frage, ob und in welcher Höhe gegenüber dem insolventen Arbeitgeber eine Lohnforderung besteht, an deren Stelle die Insolvenzentschädigung treten soll. Zweck dieses Artikels ist es, die Auszahlung der Insolvenzentschädigung an jene Arbeitnehmer, welche bezüglich der Höhe ihrer Lohnforderungen in Beweisnot geraten, nicht zu verzögern (vgl. BORIS RUBIN, Commentaire de la loi sur l'assurance-chômage, 2014, N. 15 zu Art. 51 AVIG ). Insbesondere bei Arbeitnehmern, die im Stundenlohn angestellt sind, wird man sich bezüglich der Lohnhöhe, welche von der Anzahl der tatsächlich geleisteten Stunden abhängt, auf die glaubhaften Angaben des Arbeitnehmers verlassen müssen. Aus diesem Grund sieht Art. 74 AVIV vor, bezüglich dieser Frage vom im Sozialversicherungsrecht grundsätzlich üblichen Beweisgrad der überwiegenden Wahrscheinlichkeit (vgl. UELI KIESER, ATSG-Kommentar, 3. Aufl. 2015, N. 46 zu Art. 43 ATSG mit weiteren Hinweisen; vgl. auch E. 3.2 hiervor) abzuweichen. Die übrigen Anspruchsvoraussetzungen, wie namentlich der Bestand eines Arbeitsverhältnisses mit Beschäftigung in der Schweiz oder der Eintritt eines Insolvenztatbestandes müssen demgegenüber mit dem üblichen Beweisgrad der überwiegenden Wahrscheinlichkeit erstellt sein (vgl. URS BURGHERR, Die Insolvenzentschädigung, Zahlungsunfähigkeit des Arbeitgebers als versichertes Risiko, 2004, S. 115). Auch einem im Stundenlohn angestellten Arbeitnehmer sollte es in aller Regel möglich sein, den Bestand des Arbeitsverhältnisses durch Arbeitsvertrag, Lohnabrechnungen für vergangene Perioden, Zeugnis von BGE 144 V 427 S. 431 Vorgesetzten und Arbeitskollegen, Eintrag im Individuellen Konto der AHV, usw. mit dem Regelbeweisgrad der überwiegenden Wahrscheinlichkeit nachzuweisen. Es ist deshalb kein hinreichender Grund dafür ersichtlich, Art. 74 AVIV über seinen primären Schutzzweck hinaus auch auf diese Fragen anzuwenden.</w:t>
      </w:r>
    </w:p>
    <w:p>
      <w:r>
        <w:rPr>
          <w:b/>
        </w:rPr>
        <w:t>E. 4.1</w:t>
      </w:r>
    </w:p>
    <w:p>
      <w:r>
        <w:t>Das kantonale Gericht hat erwogen, der Beschwerdegegner habe beharrlich versucht, seinen Lohnanspruch gegenüber seiner Arbeitgeberin geltend zu machen, damit sei dieser hinreichend glaubhaft gemacht worden. Daran vermöge auch der Umstand nichts zu ändern, dass es zunächst aufgrund einer Falschbezeichnung der genauen Firma der Arbeitgeberin und später aufgrund deren Konkurses nicht mehr zu einem arbeitsrechtlichen Prozess kam. Die beschwerdeführende Kasse macht demgegenüber geltend, die Angaben des Beschwerdegegners seien zwar zugestandenermassen in sich schlüssig; trotzdem beruhe die gesamte Beweislage ausschliesslich auf seinen Angaben. Damit sei der Lohnanspruch noch nicht hinreichend glaubhaft gemacht.</w:t>
      </w:r>
    </w:p>
    <w:p>
      <w:r>
        <w:rPr>
          <w:b/>
        </w:rPr>
        <w:t>E. 4.2</w:t>
      </w:r>
    </w:p>
    <w:p>
      <w:r>
        <w:t>Ob alleine gestützt auf die Angaben einer versicherten Person ein Lohnanspruch glaubhaft gemacht werden kann, erscheint mit Blick auf die Rechtsprechung (vgl. Urteil 8C_558/2007 vom 25. April 2008 E. 4.2) als zweifelhaft, braucht indessen nicht abschliessend geprüft zu werden. Die vom kantonalen Gericht geprüfte Frage nach dem Glaubhaftmachen des Lohnanspruchs stellt sich erst dann, wenn mit dem im Sozialversicherungsrecht üblichen Beweisgrad der überwiegenden Wahrscheinlichkeit erstellt ist, dass die Insolvenzentschädigung beanspruchende Person in einem Arbeitsverhältnis (mit Beschäftigung in der Schweiz) zum insolventen Arbeitgeber stand (vgl. E. 3.3 hiervor). Zu dieser entscheiderheblichen Frage hat sich die Vorinstanz bis anhin noch nicht geäussert. Entsprechend ist die Beschwerde der Arbeitslosenkasse in dem Sinne teilweise gutzuheissen, als die Sache unter Aufhebung des kantonalen Gerichtsentscheides an die Vorinstanz zurückzuweisen ist, damit diese - gegebenenfalls nach weiteren Abklärungen zum Sachverhalt (etwa unter Einvernahme derjenigen Person, welche nach seinen Angaben den Beschwerdegegner für die zwischenzeitlich in Konkurs gefallene Firma angestellt hat, unter Strafandrohung als Zeuge) - einen neuen Entscheid fälle.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