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376</w:t>
      </w:r>
    </w:p>
    <w:p>
      <w:r>
        <w:t>Bundesgericht (BGE), 2018-09-20, DE</w:t>
      </w:r>
    </w:p>
    <w:p>
      <w:r>
        <w:rPr>
          <w:b/>
        </w:rPr>
        <w:t xml:space="preserve">Quelle: </w:t>
      </w:r>
      <w:r>
        <w:t>https://mcp.opencaselaw.ch/entscheid/bge_BGE_144_V_376</w:t>
      </w:r>
    </w:p>
    <w:p>
      <w:r>
        <w:t>FR: ATF 144 V 376</w:t>
      </w:r>
    </w:p>
    <w:p>
      <w:r>
        <w:t>IT: DTF 144 V 376</w:t>
      </w:r>
    </w:p>
    <w:p>
      <w:pPr>
        <w:pStyle w:val="Heading2"/>
      </w:pPr>
      <w:r>
        <w:t>Regeste</w:t>
      </w:r>
    </w:p>
    <w:p>
      <w:r>
        <w:t>Regeste Art. 14 Abs. 1 FZG; Rücktritt vom überobligatorischen Vorsorgevertrag wegen einer Anzeigepflichtverletzung; Berücksichtigung der aus überobligatorischer Vorsorge stammenden eingebrachten Freizügigkeitsleistung bei der Berechnung der BVG-Minimalrente. Bei einem Rücktritt vom überobligatorischen Vorsorgevertrag (als "Ersatzhandlung" im Sinne von BGE 130 V 9 E. 5.1 S. 15) gewährt Art. 14 Abs. 1 FZG insoweit Besitzstand auf dem Anrechnungsprinzip, als die Eintrittsleistung Minimalgrösse für die Berechnung des Rentenanspruchs bildet. Diese Grenze darf reglementarisch nicht unterschritten werden (E. 4).</w:t>
      </w:r>
    </w:p>
    <w:p>
      <w:r>
        <w:t>Regeste Art. 14 al. 1 LFLP; résiliation du contrat de prévoyance surobligatoire en cas de réticence; prise en considération de la prestation apportée de libre passage provenant de la prévoyance surobligatoire dans le calcul de la rente minimale LPP. En cas de résiliation du contrat de prévoyance surobligatoire (en tant que "mesure de substitution" au sens de l' ATF 130 V 9 consid. 5.1 p. 15), l'art. 14 al. 1 LFLP garantit les avantages acquis selon le principe de l'imputation dans la mesure où la prestation d'entrée constitue la valeur minimale pour le calcul du droit à la rente. Cette limite ne peut pas être réduite par voie réglementaire (consid. 4).</w:t>
      </w:r>
    </w:p>
    <w:p>
      <w:r>
        <w:t>Regesto Art. 14 cpv. 1 LFLP; risoluzione del contratto di previdenza sovraobbligatoria in caso di reticenza; presa in considerazione della prestazione di libero passaggio apportata, proveniente dalla previdenza professionale sovraobbligatoria nel calcolo della rendita minima LPP. In caso di risoluzione del contratto di previdenza sovraobbligatoria (quale "misura di sostituzione" nel senso della DTF 130 V 9 consid. 5.1 pag. 15), l'art. 14 cpv. 1 LFLP garantisce i vantaggi acquisiti secondo il principio dell'imputazione nel caso in cui la prestazione d'entrata costituisce il valore minimo per il calcolo del diritto alla rendita. Questo limite non può essere ridotto mediante disposizioni regolamentari (consid. 4).</w:t>
      </w:r>
    </w:p>
    <w:p>
      <w:pPr>
        <w:pStyle w:val="Heading2"/>
      </w:pPr>
      <w:r>
        <w:t>Erwägungen</w:t>
      </w:r>
    </w:p>
    <w:p>
      <w:r>
        <w:rPr>
          <w:b/>
        </w:rPr>
        <w:t>E. 2.1</w:t>
      </w:r>
    </w:p>
    <w:p>
      <w:r>
        <w:t>Die Vorsorgeeinrichtungen sind im Rahmen des Gesetzes sowie der verfassungsmässigen Schranken (wie Rechtsgleichheit, Willkürverbot und Verhältnismässigkeit; BGE 140 V 348 E. 2.1 S. 350) in der Gestaltung ihrer Leistungen im weitergehenden Bereich grundsätzlich frei (Art. 6 i.V.m. Art. 49 BVG ; vgl. SVR 2017 BVG Nr. 1 S. 1, 9C_308/2016 E. 3.2.1). 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(SR 221.229.1; BGE 130 V 9 E. 2.1 S. 11 mit Hinweisen).</w:t>
      </w:r>
    </w:p>
    <w:p>
      <w:r>
        <w:rPr>
          <w:b/>
        </w:rPr>
        <w:t>E. 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f.; BGE 138 V 176 E. 6 S. 181; BGE 131 V 27 E. 2.2 S. 29). Das Ergebnis der Auslegung nach dem Vertrauensgrundsatz und in Anwendung der Unklarheits- und Ungewöhnlichkeitsregel kann vom Bundesgericht als Rechtsfrage frei überprüft werden ( BGE 140 V 50 E. 2.3 S. 52 mit Hinweisen).</w:t>
      </w:r>
    </w:p>
    <w:p>
      <w:r>
        <w:rPr>
          <w:b/>
        </w:rPr>
        <w:t>E. 3</w:t>
      </w:r>
    </w:p>
    <w:p>
      <w:r>
        <w:t>Es steht fest, dass der Beschwerdeführerin einzig eine (ganze) Invalidenrente aus obligatorischer beruflicher Vorsorge zusteht, hingegen keine Invaliditätsleistung aus weitergehender (überobligatorischer) Vorsorge, weil die Beschwerdegegnerin in rechtskonformer Weise zufolge Anzeigepflichtverletzung vom Vorsorgevertrag BGE 144 V 376 S. 379 zurückgetreten ist. Auseinander gehen die Rechtsauffassungen darüber, wie in dieser Rechtslage mit der in die Beschwerdegegnerin eingebrachten Eintrittsleistung, welche sich nicht nur aus dem BVG-Altersguthaben zusammensetzt, zu verfahren ist: Während kantonales Gericht und Beschwerdegegnerin annehmen, die aus überobligatorischer Vorsorge stammende eingebrachte Freizügigkeitsleistung könne bei der Berechnung der BVG-Minimalrente keine Berücksichtigung finden, geht die Beschwerdeführerin unter Berufung auf BGE 130 V 9 vom Gegenteil aus. Sie macht insbesondere eine Verletzung von Art. 14 Abs. 1 FZG (SR 831.42) geltend.</w:t>
      </w:r>
    </w:p>
    <w:p>
      <w:r>
        <w:rPr>
          <w:b/>
        </w:rPr>
        <w:t>E. 4.1</w:t>
      </w:r>
    </w:p>
    <w:p>
      <w:r>
        <w:t>Gemäss BGE 130 V 9 E. 5.1 S. 15 kann die Vorsorgeeinrichtung im Bereich der weitergehenden beruflichen Vorsorge keinen rückwirkenden Versicherungsvorbehalt (für vorbestandene Gesundheitsbeeinträchtigungen) anbringen, sondern nur gegebenenfalls den Rücktritt vom überobligatorischen Vorsorgevertrag erklären. Aus E. 5.2.2 geht hervor, dass sich dieser Rücktritt nur auf das neue überobligatorisch aufgebaute Vorsorgekapitel bezieht, nicht aber auf die von der ehemaligen Pensionskasse erworbene Austrittsleistung. Gründe für ein Abweichen von dieser Rechtsprechung sind weder ersichtlich noch von der Beschwerdegegnerin dargetan. Diese lässt vielmehr ausser Acht, was folgt: Art. 14 Abs. 1 FZG sichert den überobligatorischen Vorsorgeschutz im Umfang der eingebrachten Austrittsleistungen zu. Darauf darf kein neuer Vorbehalt angebracht werden, wobei ein Vorbehalt auch neu ist, wenn zuvor keiner bestand (vgl. BBl 1992 III 533, 564 f. Ziff. 621, 570 Ziff. 631, 585 f. Ziff. 633.6). Entsprechend beschränkt Art. 14 Abs. 1 FZG auch das Rücktrittsrecht: Darf bereits bei Eintritt auf einem Teil des überobligatorischen Alterskapitals kein Vorbehalt angebracht werden (so auch Art. 6 Ziff. 2 Abs. 6 erster Satz des hier unbestritten anwendbaren Vorsorgereglements PLAN-2 [in Kraft seit dem 23. Oktober 2006]), so schliesst dies von Vornherein - unabhängig von der Frage der Zulässigkeit - auch einen rückwirkenden Vorbehalt auf dem eingebrachten Teil aus und damit konsequenterweise auch einen darauf bezogenen Rücktritt als "Ersatzhandlung" im Sinne von BGE 130 V 9 E. 5.1 S. 15. Mit anderen Worten gewährt Art. 14 Abs. 1 FZG insoweit Besitzstand auf dem Anrechnungsprinzip, als die Eintrittsleistung Minimalgrösse für die Berechnung des Rentenanspruchs bildet. Diese Grenze darf reglementarisch nicht unterschritten werden. BGE 144 V 376 S. 380</w:t>
      </w:r>
    </w:p>
    <w:p>
      <w:r>
        <w:rPr>
          <w:b/>
        </w:rPr>
        <w:t>E. 4.2</w:t>
      </w:r>
    </w:p>
    <w:p>
      <w:r>
        <w:t>In Bezug auf die Verletzung der Anzeigepflicht und deren Folgen im Bereich der weitergehenden beruflichen Vorsorge sieht Art. 6 Abs. 2 (letzter Abschnitt) des Vorsorgereglements PLAN-2 Folgendes vor: "Ist die Gesundheitserklärung bei Beitritt in die Stiftung oder bei einem anderen Ereignis (Einkauf, Lohnerhöhung, Wiedereinstellung, neuer Vertrag, usw.) fehlerhaft oder unvollständig, kann die Stiftung die Leistungen, welche über die vom BVG vorgesehenen Leistungen hinausgehen, definitiv ausschliessen. Die Stiftung muss dem Versicherten innert sechs Monaten nach Feststellung der Verschweigung eine schriftliche Mitteilung machen." Mit der Vorinstanz lässt eine Auslegung dieser Bestimmung (vgl. dazu E. 2.1 hiervor) keine Zweifel, dass die aus überobligatorischer Vorsorge stammende eingebrachte Freizügigkeitsleistung bei der Berechnung der BVG-Minimalrente keine Berücksichtigung finden soll. Damit widerspricht die Reglementsbestimmung indessen der gesetzlichen Konzeption, wonach der Vorsorgeschutz, der im Zeitpunkt des Übertritts bestand, zu erhalten ist (vgl. E. 4.1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