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354</w:t>
      </w:r>
    </w:p>
    <w:p>
      <w:r>
        <w:rPr>
          <w:i/>
        </w:rPr>
        <w:t>Bundesgericht (BGE)</w:t>
      </w:r>
      <w:r>
        <w:rPr>
          <w:i/>
        </w:rPr>
        <w:t xml:space="preserve">  ·  2018-09-25</w:t>
      </w:r>
      <w:r>
        <w:rPr>
          <w:i/>
        </w:rPr>
        <w:t xml:space="preserve">  ·  DE</w:t>
      </w:r>
    </w:p>
    <w:p>
      <w:r>
        <w:rPr>
          <w:b/>
        </w:rPr>
        <w:t xml:space="preserve">Source: </w:t>
      </w:r>
      <w:r>
        <w:t>https://mcp.opencaselaw.ch/entscheid/bge_BGE_144_V_354</w:t>
      </w:r>
    </w:p>
    <w:p>
      <w:r>
        <w:t>FR: ATF 144 V 354 · IT: DTF 144 V 354</w:t>
      </w:r>
    </w:p>
    <w:p>
      <w:pPr>
        <w:pStyle w:val="Heading2"/>
      </w:pPr>
      <w:r>
        <w:t>Regeste</w:t>
      </w:r>
    </w:p>
    <w:p>
      <w:r>
        <w:t>Regeste Art. 19 Abs. 1 UVG; Fallabschluss; Streitgegenstand. Die Einstellung der vorübergehenden Leistungen und der Fallabschluss mit Prüfung der Rentenfrage hängen derart eng zusammen, dass von einem einheitlichen Streitgegenstand auszugehen ist. Für die abweichende Praxis des kantonalen Gerichts, wonach bezüglich Einstellung der Taggeld- und Heilbehandlungsleistungen einerseits und der Rentenfrage andererseits von zwei unterschiedlichen Streitgegenständen auszugehen sei, besteht mit Blick auf das von Art. 19 Abs. 1 UVG vorgegebene Zusammenfallen der Einstellung von vorübergehenden Leistungen und der Prüfung - und gegebenenfalls Festlegung - der Rente kein Spielraum (E. 4.2).</w:t>
      </w:r>
    </w:p>
    <w:p>
      <w:r>
        <w:t>Regeste Art. 19 al. 1 LAA; liquidation du cas; objet du litige.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(consid. 4.2).</w:t>
      </w:r>
    </w:p>
    <w:p>
      <w:r>
        <w:t>Regesto Art. 19 cpv. 1 LAINF; liquidazione del caso; oggetto della lite. La sospensione di prestazioni temporanee e la liquidazione del caso con l'esame del diritto alla rendita sono a tal punto legate, che bisogna concluderne per un unico oggetto della lite. Per una prassi differente di un tribunale cantonale, che fa derivare due oggetti della lite distinti da un lato dalla sospensione delle indennità giornaliere e le spese di cura e da un altro lato dalla questione della rendita, non c'è alcuno spazio nell'ottica dell'art. 19 cpv. 1 LAINF. Questa disposizione fa infatti collimare la sospensione delle prestazioni temporanee e l'esame del diritto - e se del caso attribuzione - della rendita (consid. 4.2).</w:t>
      </w:r>
    </w:p>
    <w:p>
      <w:pPr>
        <w:pStyle w:val="Heading2"/>
      </w:pPr>
      <w:r>
        <w:t>Erwägungen</w:t>
      </w:r>
    </w:p>
    <w:p>
      <w:r>
        <w:rPr>
          <w:b/>
        </w:rPr>
        <w:t>E. 3.1</w:t>
      </w:r>
    </w:p>
    <w:p>
      <w:r>
        <w:t>Das kantonale Gericht gelangt in Bestätigung des Einspracheentscheids vom 21. März 2016 zum Schluss, dass das Nichteintreten auf die Einsprache vom 4. Januar 2016 zu Recht erfolgt sei. Soweit sich die Versicherte in ihren Eingaben gegen den mit formlosem Schreiben vom 3. August 2015 eingestellten Anspruch auf Taggeld- und Heilbehandlungsleistungen richte, sei gemäss kantonalgerichtlicher Praxis von unterschiedlichen Streitgegenständen auszugehen. Daher stelle sich - nota bene ausserhalb des vorliegenden Streitgegenstandes - die Frage, wie mit der Kritik der Versicherten an der Einstellung der vorübergehenden Leistungen zu verfahren sei. Über die Einstellung von Taggeld- und Heilbehandlungsleistungen sei gemäss bundesgerichtlicher Rechtsprechung formell zu verfügen. Demnach hätte die mit formloser Mitteilung vom 3. August 2015 angeordnete Einstellung der Taggeld- und Heilbehandlungsleistungen korrekterweise in Form einer formellen Verfügung ergehen müssen. Eine ausreichende Willenserklärung der versicherten Person, dass sie mit der Einstellung nicht einverstanden sei und gemäss Art. 51 Abs. 2 ATSG analog den Erlass einer Verfügung wünsche, sei sowohl in der Beschwerde ans kantonale Gericht vom 3. Mai 2016 als auch in der Einsprache vom 4. Januar 2016 enthalten. Damit habe sie innert eines Jahres ab Mitteilung vom 3. August 2015 reagiert, weshalb die Sache zum diesbezüglichen Erlass einer formellen Verfügung zuständigkeitshalber an die Suva zu überweisen sei.</w:t>
      </w:r>
    </w:p>
    <w:p>
      <w:r>
        <w:rPr>
          <w:b/>
        </w:rPr>
        <w:t>E. 3.2</w:t>
      </w:r>
    </w:p>
    <w:p>
      <w:r>
        <w:t>Die Beschwerdeführerin macht geltend, Streit- und Anfechtungsgegenstand des vorinstanzlichen Prozesses sei ausschliesslich der Einsprache- bzw. Nichteintretensentscheid der Suva vom 21. März 2016. Der Erlass einer anfechtbaren Verfügung zur Einstellung der BGE 144 V 354 S. 357 vorübergehenden Leistungen sei nicht Gegenstand des angefochtenen Einspracheentscheides, weshalb dies auch nicht zum Streitgegenstand des vorinstanzlichen Prozesses hätte gemacht werden dürfen. Eine Rechtsverweigerungsbeschwerde sei ebenfalls nicht erhoben worden. Das kantonale Gericht habe also mit seiner verbindlichen Anordnung an die Adresse der Suva, eine anfechtbare Verfügung zu erlassen, ihren Zuständigkeitsbereich klar überschritten. Dispositiv-Ziffer 2 des angefochtenen Entscheids sei bereits aus diesem Grund rechtswidrig und aufzuheben. Zudem könne auch nicht davon ausgegangen werden, dass die Versicherte ihren Willen, bezüglich der Einstellung der vorübergehenden Leistungen auf dem Erlass einer anfechtbaren Verfügung zu bestehen, rechtsgenüglich zum Ausdruck gebracht hätte. Schliesslich habe die Suva in ihrer Verfügung vom 16. September 2015 ausdrücklich auf das Schreiben vom 3. August 2015 hingewiesen. Mit der anschliessenden Prüfung des Rentenanspruchs habe sie gleichzeitig auch die mit formlosem Schreiben vom 3. August 2015 mitgeteilte Einstellung der Taggelder und Heilbehandlungsleistungen bestätigt. Über diesen einheitlichen Streitgegenstand habe die Suva am 16. September 2015 rechtskräftig und definitiv befunden, weshalb für den nachträglichen Erlass einer separaten formellen Einstellungsverfügung kein Raum bleibe. Die Versicherte hätte in Anbetracht der Einheitlichkeit des Streitgegenstandes durch rechtzeitige Einsprache gegen den Verwaltungsakt vom 16. September 2015 auch die Einstellung der vorübergehenden Leistungen rügen können. Den Umstand, dass eine fristgerechte Einsprache unterblieben sei, habe die Versicherte selber zu verantworten.</w:t>
      </w:r>
    </w:p>
    <w:p>
      <w:r>
        <w:rPr>
          <w:b/>
        </w:rPr>
        <w:t>E. 4.1</w:t>
      </w:r>
    </w:p>
    <w:p>
      <w:r>
        <w:t>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(Satz 1). Mit dem Rentenbeginn fallen die Heilbehandlung und die Taggeldleistungen dahin (Satz 2). In dieser Norm wird zunächst geregelt, wann ein Versicherungsfall zum Abschluss zu bringen ist ( BGE 134 V 109 E. 3.2 S. 113). Die vorübergehenden Leistungen, wie Taggelder und Heilbehandlung, hat der Unfallversicherer - sofern allfällige Eingliederungsmassnahmen der Invalidenversicherung abgeschlossen sind - nur so lange zu gewähren, als von der Fortsetzung der ärztlichen Behandlung noch BGE 144 V 354 S. 358 eine namhafte Besserung des Gesundheitszustandes erwartet werden kann. Trifft dies nicht mehr zu, ist der Fall unter Einstellung der vorübergehenden Leistungen mit gleichzeitiger Prüfung des Anspruches auf eine Invalidenrente und/oder eine Integritätsentschädigung abzuschliessen ( BGE 134 V 109 E. 4.1 S. 113 f.; SVR 2017 UV Nr. 42 S. 145, 8C_776/2016 E. 5.1.1).</w:t>
      </w:r>
    </w:p>
    <w:p>
      <w:r>
        <w:rPr>
          <w:b/>
        </w:rPr>
        <w:t>E. 4.2</w:t>
      </w:r>
    </w:p>
    <w:p>
      <w:r>
        <w:t>Folglich hängen die Einstellung der vorübergehenden Leistungen und der Fallabschluss mit Prüfung der Rentenfrage und der Integritätsentschädigung derart eng zusammen, dass von einem einheitlichen Streitgegenstand auszugehen ist (Urteil 8C_170/2015 vom 29. September 2015 E. 4.2). Ist der Rentenanspruch streitig, so kann die Frage, ob der Fallabschluss korrekt erfolgt ist, nicht gesondert in Rechtskraft erwachsen, weil das Entstehen des Anspruchs auf eine Rente der Unfallversicherung unter anderem auch vom Zeitpunkt des Eintritts des medizinisch-therapeutischen Endzustandes abhängig ist (SVR 2017 UV Nr. 40 S. 138, 8C_43/2017 E. 2.3.2). Für die abweichende Praxis des kantonalen Gerichts, wonach bezüglich Einstellung der Taggeld- und Heilbehandlungsleistungen einerseits und der Rentenfrage andererseits von zwei unterschiedlichen Streitgegenständen auszugehen sei, besteht mit Blick auf das von Art. 19 Abs. 1 UVG vorgegebene Zusammenfallen der Einstellung von vorübergehenden Leistungen und der Prüfung (und gegebenenfalls Festlegung) der Rente kein Spielraum.</w:t>
      </w:r>
    </w:p>
    <w:p>
      <w:r>
        <w:rPr>
          <w:b/>
        </w:rPr>
        <w:t>E. 4.3</w:t>
      </w:r>
    </w:p>
    <w:p>
      <w:r>
        <w:t>Die Vorinstanz behauptet, die Praxis des Bundesgerichts sei uneinheitlich. So sei unter anderem im Urteil 8C_584/2013 vom 3. April 2014 (E. 6) ebenfalls von unterschiedlichen Streitgegenständen ausgegangen worden. Dabei übersieht sie jedoch, dass dort nicht die Rentenfrage, sondern die Integritätsentschädigung zur Diskussion stand. Praxisgemäss ist eine Verfügung insbesondere hinsichtlich des Entscheids über den Anspruch auf Integritätsentschädigung einerseits und über den Anspruch auf Invalidenrente andererseits der Teilrechtskraft zugänglich (SVR 2017 UV Nr. 40 S. 138, 8C_43/2017 E. 2.3.1 mit Hinweis). Daraus folgend kann über Rente und Integritätsentschädigung auch getrennt verfügt werden. Einzelne Teilaspekte, welche die Leistung bestimmen ( BGE 125 V 413 E. 2b und d S. 416 f.), bilden demgegenüber nur Begründungselemente des Streitgegenstands. Sie können daher im Rahmen der Rechtsanwendung von Amtes wegen von einer Beschwerdeinstanz anders beurteilt werden als von der verfügenden Behörde, auch wenn sie nicht angefochten worden sind (SVR 2011 IV Nr. 20 S. 53, 9C_303/2010 E. 4.2), BGE 144 V 354 S. 359 und sie können erst als rechtskräftig beurteilt und damit der richterlichen Überprüfung entzogen gelten, wenn über den Streitgegenstand insgesamt rechtskräftig entschieden worden ist ( BGE 125 V 413 E. 2b S. 416 mit Hinweis; vgl. auch BGE 135 V 148 E. 5.2 S. 150). So verhält es sich, wie in Erwägung 4.1 f. hiervor erläutert, gemäss Art. 19 Abs. 1 UVG für den Fallabschluss mit Prüfung der Rentenfrage und die Einstellung der vorübergehenden Leistungen.</w:t>
      </w:r>
    </w:p>
    <w:p>
      <w:r>
        <w:rPr>
          <w:b/>
        </w:rPr>
        <w:t>E. 5.1</w:t>
      </w:r>
    </w:p>
    <w:p>
      <w:r>
        <w:t>Im vorliegenden Fall verneinte die Suva in der Verfügung vom 16. September 2015 den Rentenanspruch nach einem Verweis auf das Schreiben vom 3. August 2015, mit welchem die Einstellung der Taggeld- und Heilbehandlungsleistungen angeordnet worden war. Die Einstellung der vorübergehenden Leistungen und die Rentenprüfung gehörten nach den vorstehenden Erwägungen untrennbar zum Anfechtungs- und Streitgegenstand im vorinstanzlichen Verfahren. Selbst wenn man sich mit dem kantonalen Gericht auf den Standpunkt stellt, die Suva sei im Verwaltungsakt vom 16. September 2015 nicht (auch nicht implizit) auf die Einstellung der vorübergehenden Leistungen eingegangen und hätte, unabhängig davon, ausschliesslich den Rentenanspruch geprüft, verhielte es sich nicht anders. Denn zum Anfechtungsgegenstand gehören nicht nur diejenigen Rechtsverhältnisse, über welche die Verwaltung tatsächlich eine Anordnung getroffen hat. Vielmehr bilden auch jene Rechtsverhältnisse Teil des Verfahrensgegenstandes, hinsichtlich deren es die Verwaltung zu Unrecht - in Verletzung des Untersuchungsgrundsatzes sowie des Prinzips der Rechtsanwendung von Amtes wegen - unterlassen hat zu befinden, obwohl dazu nach der Aktenlage oder den Parteivorbringen hinreichender Anlass bestanden hätte (vgl. Urteil 8C_210/2018 vom 17. Juli 2018 E. 3.2.3.2 mit weiteren Hinweisen).</w:t>
      </w:r>
    </w:p>
    <w:p>
      <w:r>
        <w:rPr>
          <w:b/>
        </w:rPr>
        <w:t>E. 5.2</w:t>
      </w:r>
    </w:p>
    <w:p>
      <w:r>
        <w:t>Die Vorinstanz hat den Nichteintretensentscheid der Suva vom 21. März 2016 bestätigt. Damit kann sie den Versicherungsträger nicht mehr dazu auffordern, eine Verfügung bezüglich der vorübergehenden Leistungen zu erlassen. Der Fallabschluss und mit ihm die Einstellung der Taggelder und Heilkostenleistungen ist mit der Verfügung vom 16. September 2015 zufolge verspäteter Einspracheerhebung in Rechtskraft erwachsen. Mit der vorinstanzlichen Bestätigung des Nichteintretensentscheides ist die Sache erledigt, nachdem die Versicherte den kantonalgerichtlichen Entscheid nicht selber angefochten hat. Streitgegenstand im vorinstanzlichen Verfahren BGE 144 V 354 S. 360 bildete lediglich die Frage, ob die Suva mit Entscheid vom 21. März 2016 zu Recht nicht auf die - verspätete - Einsprache der Beschwerdegegnerin eingetreten war. Die Überweisung der Angelegenheit an die Suva zur Verfügung über die vorübergehenden Leistungen verletzt folglich Bundesrecht. Deshalb ist die entsprechende Dispositiv-Ziffer 2 des angefochtenen vorinstanzlichen Entscheids aufzuheben. Erörterungen zu den ersten beiden Einwänden der Suva (Überschreitung des kantonalgerichtlichen Zuständigkeitsbereichs; fehlende Willensbekundung der Versicherten bezüglich Erlass einer anfechtbaren Verfügung zu den vorübergehenden Leistungen: vgl. E. 3.2 hiervor) erübrigen sich unter diesen Umständen.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