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V 166</w:t>
      </w:r>
    </w:p>
    <w:p>
      <w:r>
        <w:t>Bundesgericht (BGE), 2018-06-27, DE</w:t>
      </w:r>
    </w:p>
    <w:p>
      <w:r>
        <w:rPr>
          <w:b/>
        </w:rPr>
        <w:t xml:space="preserve">Quelle: </w:t>
      </w:r>
      <w:r>
        <w:t>https://mcp.opencaselaw.ch/entscheid/bge_BGE_144_V_166</w:t>
      </w:r>
    </w:p>
    <w:p>
      <w:r>
        <w:t>FR: ATF 144 V 166</w:t>
      </w:r>
    </w:p>
    <w:p>
      <w:r>
        <w:t>IT: DTF 144 V 166</w:t>
      </w:r>
    </w:p>
    <w:p>
      <w:pPr>
        <w:pStyle w:val="Heading2"/>
      </w:pPr>
      <w:r>
        <w:t>Regeste</w:t>
      </w:r>
    </w:p>
    <w:p>
      <w:r>
        <w:t>Regeste Art. 34a Abs. 1 BVG; Art. 24 Abs. 1 lit. d BVV 2; Überentschädigung. Für die Überentschädigungsberechnung nach Art. 34a Abs. 1 BVG ist zumindest bei einer Restarbeitsfähigkeit von lediglich 10 % grundsätzlich von deren Unverwertbarkeit auszugehen. Daher kann in der Regel kein entsprechendes hypothetisches Einkommen angerechnet werden (E. 4.3).</w:t>
      </w:r>
    </w:p>
    <w:p>
      <w:r>
        <w:t>Regeste Art. 34a al. 1 LPP; art. 24 al. 1 let. d OPP 2; surindemnisation. Pour le calcul de la surindemnisation selon l'art. 34a al. 1 LPP, il faut partir du principe qu'une capacité résiduelle de travail de seulement 10 % n'est théoriquement pas exploitable. C'est pourquoi, en règle générale, il n'y pas lieu de tenir compte d'un revenu hypothétique correspondant (consid. 4.3).</w:t>
      </w:r>
    </w:p>
    <w:p>
      <w:r>
        <w:t>Regesto Art. 34a cpv. 1 LPP; art. 24 cpv. 1 lett. d OPP 2; sovrindennizzo. Per il calcolo del sovrindennizzo secondo l'art. 34a cpv. 1 LPP occorre partire dal principio che una capacità lavorativa residua di appena il 10 % è irrilevante. Pertanto, di regola non può essere conteggiato alcun reddito ipotetico corrispondente (consid. 4.3).</w:t>
      </w:r>
    </w:p>
    <w:p>
      <w:pPr>
        <w:pStyle w:val="Heading2"/>
      </w:pPr>
      <w:r>
        <w:t>Erwägungen</w:t>
      </w:r>
    </w:p>
    <w:p>
      <w:r>
        <w:rPr>
          <w:b/>
        </w:rPr>
        <w:t>E. 3.1</w:t>
      </w:r>
    </w:p>
    <w:p>
      <w:r>
        <w:t>Laut vorinstanzlicher Feststellung sind die Parteien hinsichtlich der interessierenden Invalidenrente übereinstimmend von einer Leistung der obligatorischen beruflichen Vorsorge ausgegangen. Dass BGE 144 V 166 S. 168 diese Feststellung offensichtlich unrichtig sei oder auf einer Rechtsverletzung beruhen soll, wird nicht geltend gemacht. Sie bleibt für das Bundesgericht verbindlich (nicht publ. E. 1.2). Die Parteien berufen sich denn auch nicht auf allfällige Mehrleistungen im Sinne von Art. 49 Abs. 2 in initio BVG.</w:t>
      </w:r>
    </w:p>
    <w:p>
      <w:r>
        <w:rPr>
          <w:b/>
        </w:rPr>
        <w:t>E. 3.2.1</w:t>
      </w:r>
    </w:p>
    <w:p>
      <w:r>
        <w:t>Die Vorsorgeeinrichtung kann die Hinterlassenen- und Invalidenleistungen kürzen, soweit diese zusammen mit anderen Leistungen gleicher Art und Zweckbestimmung sowie weiteren anrechenbaren Einkünften 90 Prozent des mutmasslich entgangenen Verdienstes übersteigen ( Art. 34a Abs. 1 BVG ; ebenso Art. 24 Abs. 1 der Verordnung vom 18. April 1984 über die berufliche Alters-, Hinterlassenen- und Invalidenvorsorge [BVV 2; SR 831.441.1] i.V.m. Art. 34a Abs. 1 BVG , je in den bis Ende 2016 geltenden Fassungen). Die Vorsorgeeinrichtung kann bei der Kürzung von Invalidenleistungen (vor Erreichen des ordentlichen Rentenalters) insbesondere das weiterhin erzielte oder zumutbarerweise noch erzielbare Erwerbs- oder Ersatzeinkommen anrechnen ( Art. 24 Abs. 1 lit. d BVV 2 i.V.m. Art. 34a Abs. 5 lit. a BVG ; ebenso Art. 24 Abs. 2 Satz 2 BVV 2 i.V.m. Art. 34a Abs. 1 BVG , je in den bis Ende 2016 geltenden Fassungen).</w:t>
      </w:r>
    </w:p>
    <w:p>
      <w:r>
        <w:rPr>
          <w:b/>
        </w:rPr>
        <w:t>E. 3.2.2</w:t>
      </w:r>
    </w:p>
    <w:p>
      <w:r>
        <w:t>Im Bereich der obligatorischen beruflichen Vorsorge ist von einer grundsätzlichen Kongruenz von Valideneinkommen und mutmasslich entgangenem Verdienst im Sinne von Art. 34a Abs. 1 BVG (resp. Art. 24 Abs. 1 BVV 2 in der bis Ende 2016 geltenden Fassung) auszugehen. Dasselbe gilt für Invalideneinkommen und zumutbarerweise noch erzielbarem Erwerbseinkommen nach Art. 24 Abs. 1 lit. d BVV 2 (resp. Art. 24 Abs. 2 Satz 2 BVV 2 in der bis Ende 2016 geltenden Fassung), weshalb das von den IV-Organen festgelegte Invalideneinkommen dem Grundsatz nach auch in der berufsvorsorgerechtlichen Überentschädigungsberechnung zu berücksichtigen ist ( BGE 143 V 91 E. 4.2 S. 94; BGE 141 V 351 E. 5.1 S. 354; BGE 140 V 399 E. 5.2.1 S. 401; BGE 137 V 20 E. 2.2 S. 23; BGE 134 V 64 E. 4.1.3 S. 70 [Urteil B 10/07 vom 6. Februar 2008]). Von der vermuteten Kongruenz des Invalideneinkommens mit dem zumutbarerweise noch erzielbarem Erwerbseinkommen ist insbesondere dann abzuweichen, wenn - seitens der versicherten Person nachzuweisende - persönliche Umstände und die tatsächliche Lage auf dem im Einzelfall relevanten Arbeitsmarkt die Verwertung der (invalidenversicherungsrechtlich festgestellten) Restarbeitsfähigkeit BGE 144 V 166 S. 169 erschweren resp. verunmöglichen ( BGE 137 V 20 E. 2.2 S. 23; BGE 134 V 64 E. 4.2 und 4.3 S. 70 ff.; Urteil 9C_495/2017 vom 16. April 2018 E. 3.3.1).</w:t>
      </w:r>
    </w:p>
    <w:p>
      <w:r>
        <w:rPr>
          <w:b/>
        </w:rPr>
        <w:t>E. 3.3</w:t>
      </w:r>
    </w:p>
    <w:p>
      <w:r>
        <w:t>Die Vorsorgeeinrichtung kann die Voraussetzungen und den Umfang einer Überentschädigungskürzung jederzeit überprüfen und ihre Leistungen anpassen, wenn die Verhältnisse sich wesentlich ändern ( Art. 24 Abs. 5 BVV 2 , sowohl in der bis Ende 2016 als auch in der seither geltenden Version). Als wesentliche Änderung der Verhältnisse gilt eine Leistungsanpassung in der Grössenordnung von mindestens 10 % zugunsten oder zuungunsten der rentenbeziehenden Person. Im Falle einer solchen Änderung ist die Vorsorgeeinrichtung zur Neuberechnung ihrer Invalidenrente verpflichtet; die Anpassung der Leistungen ist nicht dem freien Ermessen der Vorsorgeeinrichtung anheimgestellt ( BGE 143 V 91 E. 4.1 S. 93; BGE 125 V 163 E. 3b S. 164 f.; BGE 123 V 193 E. 5d S. 201). Erfährt ein einzelner Berechnungsfaktor eine wesentliche, d.h. an sich eine Leistungsanpassung von mindestens 10 % bewirkende Änderung, prüft die Vorsorgeeinrichtung (resp. das Berufsvorsorgegericht) in tatsächlicher und rechtlicher Hinsicht allseitig und ohne Bindung an früher ermittelte Faktoren, ob und in welchem Umfange eine Überentschädigung vorliegt. Dies kann zu einer (Über-)Kompensation des geänderten Berechnungsfaktors führen ( BGE 143 V 91 E. 4.2 S. 94 f.).</w:t>
      </w:r>
    </w:p>
    <w:p>
      <w:r>
        <w:rPr>
          <w:b/>
        </w:rPr>
        <w:t>E. 4.1</w:t>
      </w:r>
    </w:p>
    <w:p>
      <w:r>
        <w:t>Die Vorinstanz hat festgestellt, dass die Versicherte nach ihrem Unfall in einem Pensum von 10 % bei ihrer bisherigen Arbeitgeberin tätig gewesen sei und dabei ein Jahreseinkommen von "rund" Fr. 10'300.- netto verdient habe. Diese mit dem aktenkundigen Lohnausweis 2007 im Einklang stehende Feststellung bleibt unbestritten und verbindlich (nicht publ. E. 1.2). Im Vergleich zu dieser - auch im Oktober 2008 gegebenen - Situation bedeutet der auf Ende 2008 erfolgte Verlust der Arbeitsstelle klar eine rechtserhebliche Veränderung des Sachverhalts, genauer: des Invalideneinkommens und damit eines Berechnungsfaktors der Überentschädigung (Anpassung der Pensionskassenleistungen um jährlich mindestens Fr. 860.40). Daran ändert nichts, dass die Versicherte bereits im September 2008 über die damals bevorstehende Beendigung des Arbeitsverhältnisses informiert war, wie die Vorinstanz (ebenfalls verbindlich) festgestellt hat. BGE 144 V 166 S. 170</w:t>
      </w:r>
    </w:p>
    <w:p>
      <w:r>
        <w:rPr>
          <w:b/>
        </w:rPr>
        <w:t>E. 4.2</w:t>
      </w:r>
    </w:p>
    <w:p>
      <w:r>
        <w:t>Die Vorinstanz hat ferner erwogen, das Vorbringen, wonach eine Resterwerbsfähigkeit von 10 % grundsätzlich nicht verwertbar sei, vermöge die gesetzliche Vermutung der Zumutbarkeit eines Resterwerbs nicht umzustossen. Sodann fehlten Belege für erfolglose Stellenbemühungen, weshalb (neu) ein hypothetisches Erwerbseinkommen anzurechnen sei. Zu dessen Höhe hat sie sich nicht geäussert. Die Vorinstanz und die Parteien gehen nicht von einer grösseren als 10%igen Arbeitsfähigkeit der Versicherten aus. Aus den Akten ergibt sich kein von der Invalidenversicherung festgesetztes Invalideneinkommen, das für ein hypothetisches Einkommen ab dem 1. Januar 2009 herangezogen werden könnte. So oder anders stellt sich aber die Frage nach der Anrechenbarkeit eines hypothetischen Einkommens, wenn - wie die Beschwerdeführerin weiterhin geltend macht - die Restarbeitsfähigkeit aufgrund ihres geringen Umfangs grundsätzlich als nicht verwertbar zu betrachten ist.</w:t>
      </w:r>
    </w:p>
    <w:p>
      <w:r>
        <w:rPr>
          <w:b/>
        </w:rPr>
        <w:t>E. 4.3.1</w:t>
      </w:r>
    </w:p>
    <w:p>
      <w:r>
        <w:t>Soweit ersichtlich, wird in der Literatur einhellig die Verwertbarkeit einer geringen Arbeitsfähigkeit bezweifelt und deswegen die Anrechnung eines entsprechenden hypothetischen Einkommens abgelehnt (vgl. MARKUS MOSER, Überentschädigung in der 2. Säule: Wo stehen wir heute?, in: BVG-Tagung 2015, Aktuelle Fragen der beruflichen Vorsorge, 2016, S. 89; HANS-ULRICH STAUFFER, Berufliche Vorsorge, 2. Aufl. 2012, S. 381 Rz. 1036; SCHMID/WÜRMLI, Das mutmassliche Erwerbseinkommen nach Art. 24 BVV 2 , AJP 2008 S. 720; MOSER/STAUFFER, Berufliche Vorsorge, Überentschädigung, Anrechnung des zumutbarerweise erzielbaren Einkommens, AJP 2008 S. 621; dieselben , Die Überentschädigungskürzung berufsvorsorgerechtlicher Leistungen im Lichte der Rechtsprechung, SZS 2008 S. 106; MARC HÜRZELER, Die Invaliditätsbemessung in der Invalidenversicherung und der beruflichen Vorsorge, in: Personen-Schaden-Forum 2008, 2008, S. 218; UELI KIESER, Zumutbares Resterwerbseinkommen in der beruflichen Vorsorge, AJP 2005 S. 228 f.).</w:t>
      </w:r>
    </w:p>
    <w:p>
      <w:r>
        <w:rPr>
          <w:b/>
        </w:rPr>
        <w:t>E. 4.3.2</w:t>
      </w:r>
    </w:p>
    <w:p>
      <w:r>
        <w:t>In der Invalidenversicherung ist bei der Bestimmung des Invalideneinkommens nicht von realitätsfremden Einsatzmöglichkeiten auszugehen (vgl. SVR 2016 IV Nr. 58 S. 190, 8C_910/2015 E. 4.2.1). Eine sehr hohe Arbeitsunfähigkeit führt indessen regelmässig zu einem Invaliditätsgrad von mindestens 70 % (vgl. Art. 16 ATSG ) und folglich zu einem Anspruch auf eine ganze Rente ( Art. 28 Abs. 2 IVG ). BGE 144 V 166 S. 171 Beträgt die Erwerbsfähigkeit höchstens 30 %, ist die Frage nach der Verwertbarkeit einer geringen Restarbeitsfähigkeit ohne praktische Bedeutung.</w:t>
      </w:r>
    </w:p>
    <w:p>
      <w:r>
        <w:rPr>
          <w:b/>
        </w:rPr>
        <w:t>E. 4.3.3</w:t>
      </w:r>
    </w:p>
    <w:p>
      <w:r>
        <w:t>Bei der Festlegung von Ergänzungsleistungen ist für nicht erwerbstätige Teilinvalide, die in die Berechnung einbezogen werden (vgl. Art. 9 ELG [SR 831.30]), grundsätzlich ein hypothetisches Mindesteinkommen zu berücksichtigen ( Art. 11 Abs. 1 lit. g ELG i.V.m. Art. 14a Abs. 2 ELV [SR 831.301]). Ab einem Invaliditätsgrad von 70 % wird in der Regel kein hypothetisches Erwerbseinkommen angerechnet (Urteil 9C_680/2016 vom 14. Juni 2017 E. 3.4.1 mit Hinweisen).</w:t>
      </w:r>
    </w:p>
    <w:p>
      <w:r>
        <w:rPr>
          <w:b/>
        </w:rPr>
        <w:t>E. 4.3.4</w:t>
      </w:r>
    </w:p>
    <w:p>
      <w:r>
        <w:t>Im Bereich der Arbeitslosenversicherung setzt die Vermittlungsfähigkeit ( Art. 15 AVIG [SR 837.0]) voraus, dass die versicherte Person insbesondere bereit (und fähig) ist, eine zumutbare Arbeit im Umfang von mindestens 20 % eines Normalarbeitspensums anzunehmen (vgl. Art. 5 AVIV [SR 837.02]; BGE 143 V 168 E. 2 S. 170; BGE 136 V 95 E. 5.1 S. 97). Nicht vermittlungsfähige Versicherte haben keinen Anspruch auf ein Erwerbsersatzeinkommen in Form von Arbeitslosenentschädigung ( Art. 8 Abs. 1 lit. f AVIG ).</w:t>
      </w:r>
    </w:p>
    <w:p>
      <w:r>
        <w:rPr>
          <w:b/>
        </w:rPr>
        <w:t>E. 4.3.5</w:t>
      </w:r>
    </w:p>
    <w:p>
      <w:r>
        <w:t>Für das Haftpflichtrecht folgt aus dem wirtschaftlichen Schadensbegriff, dass eine bei Teilinvalidität theoretisch verbleibende Erwerbsfähigkeit unberücksichtigt bleiben muss, wenn sie wirtschaftlich nicht mehr nutzbar ist. Dies ist dann anzunehmen, wenn der Geschädigte mit der ihm aus medizinischer Sicht verbliebenen Erwerbsfähigkeit keine Aussichten mehr hat, relativ sicher ein nicht unbedeutendes Einkommen zu erzielen. Allgemein kann gesagt werden, dass bei nicht sehr spezialisierten Arbeitnehmern eine theoretische Restarbeitsfähigkeit von 20 % und weniger sich wirtschaftlich häufig nicht verwerten lässt, weil keine Möglichkeit besteht, eine geeignete Arbeit mit einem so geringen Beschäftigungsgrad zu finden (Urteil 4C.263/2006 vom 17. Januar 2007 E. 4.1 mit Hinweisen; vgl. auch FELLMANN/KOTTMANN, Schweizerisches Haftpflichtrecht, Bd. 1, 2012, S. 606 f. Rz. 1734-1736, wonach in der Lehre die Grenze bei etwa 25 bis 30 % gezogen werde).</w:t>
      </w:r>
    </w:p>
    <w:p>
      <w:r>
        <w:rPr>
          <w:b/>
        </w:rPr>
        <w:t>E. 4.3.6</w:t>
      </w:r>
    </w:p>
    <w:p>
      <w:r>
        <w:t>Nach dem Gesagten rechtfertigt sich, für die Überentschädigungsberechnung nach Art. 34a Abs. 1 BVG zumindest bei einer Restarbeitsfähigkeit von lediglich 10 % grundsätzlich von deren Unverwertbarkeit auszugehen. Daher kann in der Regel kein entsprechendes hypothetisches Einkommen angerechnet werden. Mit Blick BGE 144 V 166 S. 172 auf das einkommensrelevante Wechselspiel zwischen Invalidenversicherung und beruflicher Vorsorge (vermutete Kongruenz der Vergleichseinkommen; E. 3.2.2) gilt dies umso mehr, als 10 %-Stellen erfahrungsgemäss kaum je ausgeschrieben werden und solche Nischentätigkeiten bilden, die - auch wenn sie beispielsweise in der Reinigungsbranche verbreitet(er) sind - auf Mund-zu-Mund-Empfehlung resp. -Vermittlung beruhen und in diesem Sinn "Insidern" vorbehalten sind.</w:t>
      </w:r>
    </w:p>
    <w:p>
      <w:r>
        <w:rPr>
          <w:b/>
        </w:rPr>
        <w:t>E. 4.4</w:t>
      </w:r>
    </w:p>
    <w:p>
      <w:r>
        <w:t>Die Vorinstanz hat verbindlich (nicht publ. E. 1.2) festgestellt, dass die Versicherte ab 2010 bei einem neuen Arbeitgeber ein jährliches Einkommen von Fr. 2'500.- erzielt habe. Weder die Weiterbeschäftigung bei der früheren Arbeitgeberin noch die blosse Tatsache, dass die Versicherte 2010 eine Anstellung finden konnte (bei der sie rund einen Viertel des früheren Invalideneinkommens erzielte), gibt Anlass, um ausnahmsweise von der Verwertbarkeit der Restarbeitsfähigkeit auszugehen und ab Januar 2009 ein hypothetisches Einkommen anzurechnen. Das Dahinfallen des - beim ehemaligen Arbeitgeber erzielten - Invalideneinkommens zieht eine umfassende Neuberechnung der Überentschädigung und des koordinierten Rentenanspruchs nach sich (vgl. E. 4.1 vorne). Diese wird die Vorinstanz nachzuholen haben, wobei sie gleichzeitig über die Höhe des mutmasslich entgangenen Verdienstes befinden wird, zumal sich die Parteien (auch) darüber nicht einig sind. Ob und inwieweit die neuerliche Erzielung eines tatsächlichen Einkommens ab 2010, gegen dessen Anrechnung die Beschwerdeführerin an und für sich nicht opponiert, wiederum zu einer Neuberechnung führt, hängt von den Pensionskassenleistungen ab Januar 2009 ab. Diese stellen massgebliche Vergleichsgrösse für die Erheblichkeit dar (vgl. E. 3.3), was die Vorinstanz zu übersehen scheint.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